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70836" w:rsidRDefault="00D44F60" w:rsidP="00D44F60">
      <w:pPr>
        <w:jc w:val="center"/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>СЛУЖБА ПО ТАРИФАМ АСТРАХАНСКОЙ ОБЛАСТИ</w:t>
      </w:r>
    </w:p>
    <w:p w:rsidR="008949F6" w:rsidRPr="00370836" w:rsidRDefault="008949F6" w:rsidP="00D44F60">
      <w:pPr>
        <w:jc w:val="center"/>
        <w:rPr>
          <w:sz w:val="27"/>
          <w:szCs w:val="27"/>
        </w:rPr>
      </w:pPr>
    </w:p>
    <w:p w:rsidR="008949F6" w:rsidRPr="00370836" w:rsidRDefault="00D44F60" w:rsidP="00D44F60">
      <w:pPr>
        <w:jc w:val="center"/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>ПРОТОКОЛ</w:t>
      </w:r>
    </w:p>
    <w:p w:rsidR="00563339" w:rsidRPr="00370836" w:rsidRDefault="00563339" w:rsidP="00EE2009">
      <w:pPr>
        <w:spacing w:line="120" w:lineRule="auto"/>
        <w:jc w:val="center"/>
        <w:rPr>
          <w:b/>
          <w:sz w:val="27"/>
          <w:szCs w:val="27"/>
        </w:rPr>
      </w:pPr>
    </w:p>
    <w:p w:rsidR="00563339" w:rsidRPr="00370836" w:rsidRDefault="00563339" w:rsidP="00563339">
      <w:pPr>
        <w:jc w:val="center"/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>г. Астрахань</w:t>
      </w:r>
    </w:p>
    <w:p w:rsidR="00D44F60" w:rsidRPr="00370836" w:rsidRDefault="00D44F60" w:rsidP="00D44F60">
      <w:pPr>
        <w:jc w:val="center"/>
        <w:rPr>
          <w:sz w:val="27"/>
          <w:szCs w:val="27"/>
        </w:rPr>
      </w:pPr>
    </w:p>
    <w:p w:rsidR="00D44F60" w:rsidRPr="00370836" w:rsidRDefault="00DB5D17" w:rsidP="00C4677B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22.11.</w:t>
      </w:r>
      <w:r w:rsidR="00F81708" w:rsidRPr="00370836">
        <w:rPr>
          <w:b/>
          <w:sz w:val="27"/>
          <w:szCs w:val="27"/>
        </w:rPr>
        <w:t>201</w:t>
      </w:r>
      <w:r w:rsidR="00A41E7F" w:rsidRPr="00370836">
        <w:rPr>
          <w:b/>
          <w:sz w:val="27"/>
          <w:szCs w:val="27"/>
        </w:rPr>
        <w:t>7</w:t>
      </w:r>
      <w:r w:rsidR="00534FF4" w:rsidRPr="00370836">
        <w:rPr>
          <w:b/>
          <w:sz w:val="27"/>
          <w:szCs w:val="27"/>
        </w:rPr>
        <w:t xml:space="preserve">                                             </w:t>
      </w:r>
      <w:r w:rsidR="00DA3F18" w:rsidRPr="00370836">
        <w:rPr>
          <w:b/>
          <w:sz w:val="27"/>
          <w:szCs w:val="27"/>
        </w:rPr>
        <w:t xml:space="preserve">               </w:t>
      </w:r>
      <w:r w:rsidR="00534FF4" w:rsidRPr="00370836">
        <w:rPr>
          <w:b/>
          <w:sz w:val="27"/>
          <w:szCs w:val="27"/>
        </w:rPr>
        <w:t xml:space="preserve">                     </w:t>
      </w:r>
      <w:r w:rsidR="003E4C05" w:rsidRPr="00370836">
        <w:rPr>
          <w:b/>
          <w:sz w:val="27"/>
          <w:szCs w:val="27"/>
        </w:rPr>
        <w:t xml:space="preserve">   </w:t>
      </w:r>
      <w:r w:rsidR="00534FF4" w:rsidRPr="00370836">
        <w:rPr>
          <w:b/>
          <w:sz w:val="27"/>
          <w:szCs w:val="27"/>
        </w:rPr>
        <w:t xml:space="preserve">                   </w:t>
      </w:r>
      <w:r w:rsidR="00CC308D" w:rsidRPr="00370836">
        <w:rPr>
          <w:b/>
          <w:sz w:val="27"/>
          <w:szCs w:val="27"/>
        </w:rPr>
        <w:t xml:space="preserve">         </w:t>
      </w:r>
      <w:r w:rsidR="00534FF4" w:rsidRPr="00370836">
        <w:rPr>
          <w:b/>
          <w:sz w:val="27"/>
          <w:szCs w:val="27"/>
        </w:rPr>
        <w:t>№</w:t>
      </w:r>
      <w:r w:rsidR="00011035" w:rsidRPr="00370836">
        <w:rPr>
          <w:b/>
          <w:sz w:val="27"/>
          <w:szCs w:val="27"/>
        </w:rPr>
        <w:t xml:space="preserve"> </w:t>
      </w:r>
      <w:r w:rsidR="00B23B57">
        <w:rPr>
          <w:b/>
          <w:sz w:val="27"/>
          <w:szCs w:val="27"/>
        </w:rPr>
        <w:t>166</w:t>
      </w:r>
    </w:p>
    <w:p w:rsidR="008949F6" w:rsidRPr="00370836" w:rsidRDefault="008949F6" w:rsidP="00EE2009">
      <w:pPr>
        <w:spacing w:line="120" w:lineRule="auto"/>
        <w:jc w:val="center"/>
        <w:rPr>
          <w:b/>
          <w:sz w:val="27"/>
          <w:szCs w:val="27"/>
        </w:rPr>
      </w:pPr>
    </w:p>
    <w:p w:rsidR="00D44F60" w:rsidRPr="00370836" w:rsidRDefault="00D44F60" w:rsidP="00D44F60">
      <w:pPr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>заседания коллегии</w:t>
      </w:r>
    </w:p>
    <w:p w:rsidR="00D44F60" w:rsidRPr="00370836" w:rsidRDefault="00D44F60" w:rsidP="00D44F60">
      <w:pPr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>службы по тарифам Астраханской области</w:t>
      </w:r>
    </w:p>
    <w:p w:rsidR="00D44F60" w:rsidRPr="00370836" w:rsidRDefault="00D44F60" w:rsidP="00E9213B">
      <w:pPr>
        <w:spacing w:line="120" w:lineRule="auto"/>
        <w:rPr>
          <w:sz w:val="27"/>
          <w:szCs w:val="27"/>
        </w:rPr>
      </w:pPr>
    </w:p>
    <w:p w:rsidR="00CD2D9F" w:rsidRDefault="00CD2D9F" w:rsidP="00CD2D9F">
      <w:pPr>
        <w:rPr>
          <w:sz w:val="27"/>
          <w:szCs w:val="27"/>
        </w:rPr>
      </w:pPr>
      <w:r w:rsidRPr="00370836">
        <w:rPr>
          <w:b/>
          <w:sz w:val="27"/>
          <w:szCs w:val="27"/>
        </w:rPr>
        <w:t>Председатель</w:t>
      </w:r>
      <w:r w:rsidR="00FD61D9" w:rsidRPr="00370836">
        <w:rPr>
          <w:b/>
          <w:sz w:val="27"/>
          <w:szCs w:val="27"/>
        </w:rPr>
        <w:t xml:space="preserve"> </w:t>
      </w:r>
      <w:r w:rsidR="00FD61D9" w:rsidRPr="00370836">
        <w:rPr>
          <w:sz w:val="27"/>
          <w:szCs w:val="27"/>
        </w:rPr>
        <w:t xml:space="preserve">– </w:t>
      </w:r>
      <w:r w:rsidR="00995C60" w:rsidRPr="00370836">
        <w:rPr>
          <w:sz w:val="27"/>
          <w:szCs w:val="27"/>
        </w:rPr>
        <w:t>О.Г</w:t>
      </w:r>
      <w:r w:rsidR="00000F3A" w:rsidRPr="00370836">
        <w:rPr>
          <w:sz w:val="27"/>
          <w:szCs w:val="27"/>
        </w:rPr>
        <w:t xml:space="preserve">. </w:t>
      </w:r>
      <w:r w:rsidR="00995C60" w:rsidRPr="00370836">
        <w:rPr>
          <w:sz w:val="27"/>
          <w:szCs w:val="27"/>
        </w:rPr>
        <w:t>Зверева</w:t>
      </w:r>
    </w:p>
    <w:p w:rsidR="00EE2009" w:rsidRPr="00370836" w:rsidRDefault="00EE2009" w:rsidP="00CD2D9F">
      <w:pPr>
        <w:rPr>
          <w:sz w:val="27"/>
          <w:szCs w:val="27"/>
        </w:rPr>
      </w:pPr>
      <w:r w:rsidRPr="00EE2009">
        <w:rPr>
          <w:b/>
          <w:sz w:val="27"/>
          <w:szCs w:val="27"/>
        </w:rPr>
        <w:t>Заместитель председателя</w:t>
      </w:r>
      <w:r>
        <w:rPr>
          <w:sz w:val="27"/>
          <w:szCs w:val="27"/>
        </w:rPr>
        <w:t xml:space="preserve"> – Т.В. Крапивина</w:t>
      </w:r>
    </w:p>
    <w:p w:rsidR="00995C60" w:rsidRPr="00370836" w:rsidRDefault="00995C60" w:rsidP="00E9213B">
      <w:pPr>
        <w:spacing w:line="120" w:lineRule="auto"/>
        <w:rPr>
          <w:sz w:val="27"/>
          <w:szCs w:val="27"/>
        </w:rPr>
      </w:pPr>
    </w:p>
    <w:p w:rsidR="00CD2D9F" w:rsidRPr="00370836" w:rsidRDefault="00CD2D9F" w:rsidP="00CD2D9F">
      <w:pPr>
        <w:rPr>
          <w:sz w:val="27"/>
          <w:szCs w:val="27"/>
        </w:rPr>
      </w:pPr>
      <w:r w:rsidRPr="00370836">
        <w:rPr>
          <w:b/>
          <w:sz w:val="27"/>
          <w:szCs w:val="27"/>
        </w:rPr>
        <w:t>Секретарь</w:t>
      </w:r>
      <w:r w:rsidRPr="00370836">
        <w:rPr>
          <w:sz w:val="27"/>
          <w:szCs w:val="27"/>
        </w:rPr>
        <w:t xml:space="preserve"> </w:t>
      </w:r>
      <w:r w:rsidRPr="00370836">
        <w:rPr>
          <w:b/>
          <w:sz w:val="27"/>
          <w:szCs w:val="27"/>
        </w:rPr>
        <w:t>–</w:t>
      </w:r>
      <w:r w:rsidRPr="00370836">
        <w:rPr>
          <w:sz w:val="27"/>
          <w:szCs w:val="27"/>
        </w:rPr>
        <w:t xml:space="preserve"> </w:t>
      </w:r>
      <w:r w:rsidR="00000F3A" w:rsidRPr="00370836">
        <w:rPr>
          <w:sz w:val="27"/>
          <w:szCs w:val="27"/>
        </w:rPr>
        <w:t xml:space="preserve">Н.В. </w:t>
      </w:r>
      <w:proofErr w:type="spellStart"/>
      <w:r w:rsidR="00000F3A" w:rsidRPr="00370836">
        <w:rPr>
          <w:sz w:val="27"/>
          <w:szCs w:val="27"/>
        </w:rPr>
        <w:t>Камышанова</w:t>
      </w:r>
      <w:proofErr w:type="spellEnd"/>
    </w:p>
    <w:p w:rsidR="00F81708" w:rsidRPr="00370836" w:rsidRDefault="00F81708" w:rsidP="00E9213B">
      <w:pPr>
        <w:spacing w:line="120" w:lineRule="auto"/>
        <w:rPr>
          <w:sz w:val="27"/>
          <w:szCs w:val="27"/>
        </w:rPr>
      </w:pPr>
    </w:p>
    <w:p w:rsidR="002C7405" w:rsidRPr="00370836" w:rsidRDefault="001A0281" w:rsidP="00313A5B">
      <w:pPr>
        <w:jc w:val="both"/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 xml:space="preserve">Присутствовали: </w:t>
      </w:r>
      <w:r w:rsidR="005D3664" w:rsidRPr="00370836">
        <w:rPr>
          <w:color w:val="000000"/>
          <w:sz w:val="27"/>
          <w:szCs w:val="27"/>
        </w:rPr>
        <w:t xml:space="preserve">Свиридов А.А., </w:t>
      </w:r>
      <w:proofErr w:type="spellStart"/>
      <w:r w:rsidRPr="00370836">
        <w:rPr>
          <w:color w:val="000000"/>
          <w:sz w:val="27"/>
          <w:szCs w:val="27"/>
        </w:rPr>
        <w:t>Белунина</w:t>
      </w:r>
      <w:proofErr w:type="spellEnd"/>
      <w:r w:rsidRPr="00370836">
        <w:rPr>
          <w:color w:val="000000"/>
          <w:sz w:val="27"/>
          <w:szCs w:val="27"/>
        </w:rPr>
        <w:t xml:space="preserve"> Г.Г., Иванов И.А., Меркулова О.А., Степанищева О.В., </w:t>
      </w:r>
      <w:proofErr w:type="spellStart"/>
      <w:r w:rsidRPr="00370836">
        <w:rPr>
          <w:color w:val="000000"/>
          <w:sz w:val="27"/>
          <w:szCs w:val="27"/>
        </w:rPr>
        <w:t>Турасова</w:t>
      </w:r>
      <w:proofErr w:type="spellEnd"/>
      <w:r w:rsidRPr="00370836">
        <w:rPr>
          <w:color w:val="000000"/>
          <w:sz w:val="27"/>
          <w:szCs w:val="27"/>
        </w:rPr>
        <w:t xml:space="preserve"> Л.А. </w:t>
      </w:r>
    </w:p>
    <w:p w:rsidR="001A0281" w:rsidRPr="00370836" w:rsidRDefault="001A0281" w:rsidP="00E9213B">
      <w:pPr>
        <w:spacing w:line="120" w:lineRule="auto"/>
        <w:jc w:val="both"/>
        <w:rPr>
          <w:b/>
          <w:sz w:val="27"/>
          <w:szCs w:val="27"/>
        </w:rPr>
      </w:pPr>
    </w:p>
    <w:p w:rsidR="00D44F60" w:rsidRPr="00370836" w:rsidRDefault="00D44F60" w:rsidP="0037318A">
      <w:pPr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>Приглашенные:</w:t>
      </w:r>
    </w:p>
    <w:p w:rsidR="00404C32" w:rsidRDefault="00404C32" w:rsidP="003731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Бронникова О.А. – начальник </w:t>
      </w:r>
      <w:r w:rsidRPr="00404C32">
        <w:rPr>
          <w:sz w:val="27"/>
          <w:szCs w:val="27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>
        <w:rPr>
          <w:sz w:val="27"/>
          <w:szCs w:val="27"/>
        </w:rPr>
        <w:t>;</w:t>
      </w:r>
    </w:p>
    <w:p w:rsidR="00B048FE" w:rsidRPr="00370836" w:rsidRDefault="00A41E7F" w:rsidP="0037318A">
      <w:pPr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>Алаторцева Е.И.</w:t>
      </w:r>
      <w:r w:rsidR="00000F3A" w:rsidRPr="00370836">
        <w:rPr>
          <w:sz w:val="27"/>
          <w:szCs w:val="27"/>
        </w:rPr>
        <w:t xml:space="preserve"> </w:t>
      </w:r>
      <w:r w:rsidR="00B048FE" w:rsidRPr="00370836">
        <w:rPr>
          <w:sz w:val="27"/>
          <w:szCs w:val="27"/>
        </w:rPr>
        <w:t>–</w:t>
      </w:r>
      <w:r w:rsidR="00313A5B" w:rsidRPr="00370836">
        <w:rPr>
          <w:sz w:val="27"/>
          <w:szCs w:val="27"/>
        </w:rPr>
        <w:t xml:space="preserve"> </w:t>
      </w:r>
      <w:r w:rsidR="005D3664" w:rsidRPr="00370836">
        <w:rPr>
          <w:sz w:val="27"/>
          <w:szCs w:val="27"/>
        </w:rPr>
        <w:t xml:space="preserve">главный специалист </w:t>
      </w:r>
      <w:r w:rsidR="007B2B8D" w:rsidRPr="00370836">
        <w:rPr>
          <w:sz w:val="27"/>
          <w:szCs w:val="27"/>
        </w:rPr>
        <w:t xml:space="preserve">отдела контроля и регулирования тарифов </w:t>
      </w:r>
      <w:r w:rsidR="00D75DA8" w:rsidRPr="00370836">
        <w:rPr>
          <w:sz w:val="27"/>
          <w:szCs w:val="27"/>
        </w:rPr>
        <w:t>в сферах водоснабжения, водоотведения и обращения с твердыми коммунальными отходами</w:t>
      </w:r>
      <w:r w:rsidR="007B2B8D" w:rsidRPr="00370836">
        <w:rPr>
          <w:sz w:val="27"/>
          <w:szCs w:val="27"/>
        </w:rPr>
        <w:t xml:space="preserve"> службы по тарифам Астраханской области</w:t>
      </w:r>
      <w:r w:rsidR="00850660" w:rsidRPr="00370836">
        <w:rPr>
          <w:sz w:val="27"/>
          <w:szCs w:val="27"/>
        </w:rPr>
        <w:t>.</w:t>
      </w:r>
    </w:p>
    <w:p w:rsidR="00025243" w:rsidRPr="00370836" w:rsidRDefault="00025243" w:rsidP="00E9213B">
      <w:pPr>
        <w:spacing w:line="120" w:lineRule="auto"/>
        <w:ind w:firstLine="709"/>
        <w:jc w:val="both"/>
        <w:rPr>
          <w:sz w:val="27"/>
          <w:szCs w:val="27"/>
        </w:rPr>
      </w:pPr>
    </w:p>
    <w:p w:rsidR="00C964BA" w:rsidRPr="00370836" w:rsidRDefault="002A42FC" w:rsidP="0037318A">
      <w:pPr>
        <w:jc w:val="both"/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>ПОВЕСТКА ДНЯ:</w:t>
      </w:r>
    </w:p>
    <w:p w:rsidR="002A42FC" w:rsidRPr="00370836" w:rsidRDefault="001A238B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Рассмотрение дела об установлении </w:t>
      </w:r>
      <w:r w:rsidR="0016291B" w:rsidRPr="00370836">
        <w:rPr>
          <w:sz w:val="27"/>
          <w:szCs w:val="27"/>
        </w:rPr>
        <w:t xml:space="preserve">муниципальному </w:t>
      </w:r>
      <w:r w:rsidR="005D3664" w:rsidRPr="00370836">
        <w:rPr>
          <w:sz w:val="27"/>
          <w:szCs w:val="27"/>
        </w:rPr>
        <w:t xml:space="preserve">унитарному </w:t>
      </w:r>
      <w:r w:rsidR="00D8224F" w:rsidRPr="00370836">
        <w:rPr>
          <w:sz w:val="27"/>
          <w:szCs w:val="27"/>
        </w:rPr>
        <w:t>предприятию</w:t>
      </w:r>
      <w:r w:rsidR="005D3664" w:rsidRPr="00370836">
        <w:rPr>
          <w:sz w:val="27"/>
          <w:szCs w:val="27"/>
        </w:rPr>
        <w:t xml:space="preserve"> </w:t>
      </w:r>
      <w:r w:rsidR="00A41E7F" w:rsidRPr="00370836">
        <w:rPr>
          <w:bCs/>
          <w:sz w:val="27"/>
          <w:szCs w:val="27"/>
        </w:rPr>
        <w:t xml:space="preserve">«Лиманское», жилищно-коммунального </w:t>
      </w:r>
      <w:r w:rsidR="00CA213F">
        <w:rPr>
          <w:bCs/>
          <w:sz w:val="27"/>
          <w:szCs w:val="27"/>
        </w:rPr>
        <w:t>хозяйства</w:t>
      </w:r>
      <w:r w:rsidR="00A41E7F" w:rsidRPr="00370836">
        <w:rPr>
          <w:bCs/>
          <w:sz w:val="27"/>
          <w:szCs w:val="27"/>
        </w:rPr>
        <w:t xml:space="preserve"> муниципального образования «Рабочий поселок Лиман» (ОГРН 1043002784318</w:t>
      </w:r>
      <w:r w:rsidR="001A0281" w:rsidRPr="00370836">
        <w:rPr>
          <w:sz w:val="27"/>
          <w:szCs w:val="27"/>
        </w:rPr>
        <w:t xml:space="preserve"> (далее –</w:t>
      </w:r>
      <w:r w:rsidR="00A41E7F" w:rsidRPr="00370836">
        <w:rPr>
          <w:bCs/>
          <w:sz w:val="27"/>
          <w:szCs w:val="27"/>
        </w:rPr>
        <w:t xml:space="preserve"> МУП «Лиманское», ЖКХ МО «Рабочий поселок Лиман</w:t>
      </w:r>
      <w:r w:rsidR="005D3664" w:rsidRPr="00370836">
        <w:rPr>
          <w:sz w:val="27"/>
          <w:szCs w:val="27"/>
        </w:rPr>
        <w:t>»</w:t>
      </w:r>
      <w:r w:rsidR="00E20ADF" w:rsidRPr="00370836">
        <w:rPr>
          <w:sz w:val="27"/>
          <w:szCs w:val="27"/>
        </w:rPr>
        <w:t xml:space="preserve">) </w:t>
      </w:r>
      <w:r w:rsidRPr="00370836">
        <w:rPr>
          <w:sz w:val="27"/>
          <w:szCs w:val="27"/>
        </w:rPr>
        <w:t>тариф</w:t>
      </w:r>
      <w:r w:rsidR="005D3664" w:rsidRPr="00370836">
        <w:rPr>
          <w:sz w:val="27"/>
          <w:szCs w:val="27"/>
        </w:rPr>
        <w:t>ов</w:t>
      </w:r>
      <w:r w:rsidR="00FD61D9" w:rsidRPr="00370836">
        <w:rPr>
          <w:sz w:val="27"/>
          <w:szCs w:val="27"/>
        </w:rPr>
        <w:t xml:space="preserve"> </w:t>
      </w:r>
      <w:r w:rsidR="006378EB" w:rsidRPr="00370836">
        <w:rPr>
          <w:color w:val="000000"/>
          <w:sz w:val="27"/>
          <w:szCs w:val="27"/>
        </w:rPr>
        <w:t xml:space="preserve">в сфере </w:t>
      </w:r>
      <w:r w:rsidR="00652B35" w:rsidRPr="00370836">
        <w:rPr>
          <w:color w:val="000000"/>
          <w:sz w:val="27"/>
          <w:szCs w:val="27"/>
        </w:rPr>
        <w:t>холодного водоснабжения</w:t>
      </w:r>
      <w:r w:rsidR="005D3664" w:rsidRPr="00370836">
        <w:rPr>
          <w:color w:val="000000"/>
          <w:sz w:val="27"/>
          <w:szCs w:val="27"/>
        </w:rPr>
        <w:t xml:space="preserve"> и водоотведения</w:t>
      </w:r>
      <w:r w:rsidR="00FD61D9" w:rsidRPr="00370836">
        <w:rPr>
          <w:color w:val="000000"/>
          <w:sz w:val="27"/>
          <w:szCs w:val="27"/>
        </w:rPr>
        <w:t xml:space="preserve"> </w:t>
      </w:r>
      <w:r w:rsidRPr="00370836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370836">
        <w:rPr>
          <w:sz w:val="27"/>
          <w:szCs w:val="27"/>
        </w:rPr>
        <w:t>от</w:t>
      </w:r>
      <w:r w:rsidR="00850660" w:rsidRPr="00370836">
        <w:rPr>
          <w:sz w:val="27"/>
          <w:szCs w:val="27"/>
        </w:rPr>
        <w:t xml:space="preserve"> </w:t>
      </w:r>
      <w:r w:rsidR="00A41E7F" w:rsidRPr="00370836">
        <w:rPr>
          <w:sz w:val="27"/>
          <w:szCs w:val="27"/>
        </w:rPr>
        <w:t>12.05.2017</w:t>
      </w:r>
      <w:r w:rsidR="00E20ADF" w:rsidRPr="00370836">
        <w:rPr>
          <w:sz w:val="27"/>
          <w:szCs w:val="27"/>
        </w:rPr>
        <w:t xml:space="preserve"> №</w:t>
      </w:r>
      <w:r w:rsidR="00476BC7" w:rsidRPr="00370836">
        <w:rPr>
          <w:sz w:val="27"/>
          <w:szCs w:val="27"/>
        </w:rPr>
        <w:t xml:space="preserve"> </w:t>
      </w:r>
      <w:r w:rsidR="00A41E7F" w:rsidRPr="00370836">
        <w:rPr>
          <w:sz w:val="27"/>
          <w:szCs w:val="27"/>
        </w:rPr>
        <w:t>147</w:t>
      </w:r>
      <w:r w:rsidRPr="00370836">
        <w:rPr>
          <w:sz w:val="27"/>
          <w:szCs w:val="27"/>
        </w:rPr>
        <w:t>).</w:t>
      </w:r>
      <w:r w:rsidR="00D61F5C" w:rsidRPr="00370836">
        <w:rPr>
          <w:sz w:val="27"/>
          <w:szCs w:val="27"/>
        </w:rPr>
        <w:t xml:space="preserve"> </w:t>
      </w:r>
    </w:p>
    <w:p w:rsidR="008C180F" w:rsidRPr="00370836" w:rsidRDefault="008C180F" w:rsidP="0037318A">
      <w:pPr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Доклад </w:t>
      </w:r>
      <w:r w:rsidR="005D3664" w:rsidRPr="00370836">
        <w:rPr>
          <w:sz w:val="27"/>
          <w:szCs w:val="27"/>
        </w:rPr>
        <w:t>главного специалиста</w:t>
      </w:r>
      <w:r w:rsidR="00D8224F" w:rsidRPr="00370836">
        <w:rPr>
          <w:sz w:val="27"/>
          <w:szCs w:val="27"/>
        </w:rPr>
        <w:t xml:space="preserve"> </w:t>
      </w:r>
      <w:r w:rsidR="007B2B8D" w:rsidRPr="00370836">
        <w:rPr>
          <w:sz w:val="27"/>
          <w:szCs w:val="27"/>
        </w:rPr>
        <w:t xml:space="preserve">отдела контроля и регулирования тарифов </w:t>
      </w:r>
      <w:r w:rsidR="00D75DA8" w:rsidRPr="00370836">
        <w:rPr>
          <w:sz w:val="27"/>
          <w:szCs w:val="27"/>
        </w:rPr>
        <w:t xml:space="preserve">в сферах водоснабжения, водоотведения и обращения с твердыми коммунальными отходами </w:t>
      </w:r>
      <w:r w:rsidRPr="00370836">
        <w:rPr>
          <w:sz w:val="27"/>
          <w:szCs w:val="27"/>
        </w:rPr>
        <w:t xml:space="preserve">службы по тарифам Астраханской области </w:t>
      </w:r>
      <w:r w:rsidR="00A41E7F" w:rsidRPr="00370836">
        <w:rPr>
          <w:sz w:val="27"/>
          <w:szCs w:val="27"/>
        </w:rPr>
        <w:t>Алаторцева Е.И</w:t>
      </w:r>
      <w:r w:rsidR="00E20ADF" w:rsidRPr="00370836">
        <w:rPr>
          <w:sz w:val="27"/>
          <w:szCs w:val="27"/>
        </w:rPr>
        <w:t>.</w:t>
      </w:r>
    </w:p>
    <w:p w:rsidR="0037318A" w:rsidRPr="00370836" w:rsidRDefault="0037318A" w:rsidP="00E9213B">
      <w:pPr>
        <w:spacing w:line="120" w:lineRule="auto"/>
        <w:ind w:firstLine="709"/>
        <w:jc w:val="both"/>
        <w:rPr>
          <w:sz w:val="27"/>
          <w:szCs w:val="27"/>
        </w:rPr>
      </w:pPr>
    </w:p>
    <w:p w:rsidR="00CC308D" w:rsidRPr="00370836" w:rsidRDefault="002F56EA" w:rsidP="0037318A">
      <w:pPr>
        <w:rPr>
          <w:b/>
          <w:sz w:val="27"/>
          <w:szCs w:val="27"/>
        </w:rPr>
      </w:pPr>
      <w:r w:rsidRPr="00370836">
        <w:rPr>
          <w:b/>
          <w:sz w:val="27"/>
          <w:szCs w:val="27"/>
        </w:rPr>
        <w:t>СЛУШАЛИ</w:t>
      </w:r>
      <w:r w:rsidR="00CC308D" w:rsidRPr="00370836">
        <w:rPr>
          <w:b/>
          <w:sz w:val="27"/>
          <w:szCs w:val="27"/>
        </w:rPr>
        <w:t>:</w:t>
      </w:r>
    </w:p>
    <w:p w:rsidR="008C180F" w:rsidRPr="00370836" w:rsidRDefault="00A41E7F" w:rsidP="0037318A">
      <w:pPr>
        <w:ind w:firstLine="709"/>
        <w:jc w:val="both"/>
        <w:rPr>
          <w:sz w:val="27"/>
          <w:szCs w:val="27"/>
        </w:rPr>
      </w:pPr>
      <w:proofErr w:type="spellStart"/>
      <w:r w:rsidRPr="00370836">
        <w:rPr>
          <w:sz w:val="27"/>
          <w:szCs w:val="27"/>
        </w:rPr>
        <w:t>Алаторцеву</w:t>
      </w:r>
      <w:proofErr w:type="spellEnd"/>
      <w:r w:rsidRPr="00370836">
        <w:rPr>
          <w:sz w:val="27"/>
          <w:szCs w:val="27"/>
        </w:rPr>
        <w:t xml:space="preserve"> Е.И</w:t>
      </w:r>
      <w:r w:rsidR="005D3664" w:rsidRPr="00370836">
        <w:rPr>
          <w:sz w:val="27"/>
          <w:szCs w:val="27"/>
        </w:rPr>
        <w:t>.</w:t>
      </w:r>
      <w:r w:rsidR="00000F3A" w:rsidRPr="00370836">
        <w:rPr>
          <w:sz w:val="27"/>
          <w:szCs w:val="27"/>
        </w:rPr>
        <w:t>:</w:t>
      </w:r>
    </w:p>
    <w:p w:rsidR="00D525DC" w:rsidRPr="00370836" w:rsidRDefault="008949F6" w:rsidP="00000F3A">
      <w:pPr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>«</w:t>
      </w:r>
      <w:r w:rsidR="007B2EFE" w:rsidRPr="00370836">
        <w:rPr>
          <w:sz w:val="27"/>
          <w:szCs w:val="27"/>
        </w:rPr>
        <w:t>В службу по тарифам Астрахан</w:t>
      </w:r>
      <w:r w:rsidR="00BE7E32" w:rsidRPr="00370836">
        <w:rPr>
          <w:sz w:val="27"/>
          <w:szCs w:val="27"/>
        </w:rPr>
        <w:t>ской области поступил</w:t>
      </w:r>
      <w:r w:rsidR="005D3664" w:rsidRPr="00370836">
        <w:rPr>
          <w:sz w:val="27"/>
          <w:szCs w:val="27"/>
        </w:rPr>
        <w:t>и</w:t>
      </w:r>
      <w:r w:rsidR="00BE7E32" w:rsidRPr="00370836">
        <w:rPr>
          <w:sz w:val="27"/>
          <w:szCs w:val="27"/>
        </w:rPr>
        <w:t xml:space="preserve"> заявлени</w:t>
      </w:r>
      <w:r w:rsidR="005D3664" w:rsidRPr="00370836">
        <w:rPr>
          <w:sz w:val="27"/>
          <w:szCs w:val="27"/>
        </w:rPr>
        <w:t>я</w:t>
      </w:r>
      <w:r w:rsidR="007B2EFE" w:rsidRPr="00370836">
        <w:rPr>
          <w:sz w:val="27"/>
          <w:szCs w:val="27"/>
        </w:rPr>
        <w:t xml:space="preserve"> </w:t>
      </w:r>
      <w:r w:rsidR="00A41E7F" w:rsidRPr="00370836">
        <w:rPr>
          <w:bCs/>
          <w:sz w:val="27"/>
          <w:szCs w:val="27"/>
        </w:rPr>
        <w:t>МУП «Лиманское», ЖКХ МО «Рабочий поселок Лиман»</w:t>
      </w:r>
      <w:r w:rsidR="00A41E7F" w:rsidRPr="00370836">
        <w:rPr>
          <w:sz w:val="27"/>
          <w:szCs w:val="27"/>
        </w:rPr>
        <w:t xml:space="preserve"> </w:t>
      </w:r>
      <w:r w:rsidR="003A69C2" w:rsidRPr="00370836">
        <w:rPr>
          <w:sz w:val="27"/>
          <w:szCs w:val="27"/>
        </w:rPr>
        <w:t xml:space="preserve">об установлении </w:t>
      </w:r>
      <w:r w:rsidR="00FD61D9" w:rsidRPr="00370836">
        <w:rPr>
          <w:sz w:val="27"/>
          <w:szCs w:val="27"/>
        </w:rPr>
        <w:t>тариф</w:t>
      </w:r>
      <w:r w:rsidR="005D3664" w:rsidRPr="00370836">
        <w:rPr>
          <w:sz w:val="27"/>
          <w:szCs w:val="27"/>
        </w:rPr>
        <w:t>ов</w:t>
      </w:r>
      <w:r w:rsidR="00FD61D9" w:rsidRPr="00370836">
        <w:rPr>
          <w:sz w:val="27"/>
          <w:szCs w:val="27"/>
        </w:rPr>
        <w:t xml:space="preserve"> </w:t>
      </w:r>
      <w:r w:rsidR="00FD61D9" w:rsidRPr="00370836">
        <w:rPr>
          <w:color w:val="000000"/>
          <w:sz w:val="27"/>
          <w:szCs w:val="27"/>
        </w:rPr>
        <w:t>в сфере холодного водоснабжения</w:t>
      </w:r>
      <w:r w:rsidR="005D3664" w:rsidRPr="00370836">
        <w:rPr>
          <w:color w:val="000000"/>
          <w:sz w:val="27"/>
          <w:szCs w:val="27"/>
        </w:rPr>
        <w:t xml:space="preserve"> и водоотведения</w:t>
      </w:r>
      <w:r w:rsidR="00FD61D9" w:rsidRPr="00370836">
        <w:rPr>
          <w:color w:val="000000"/>
          <w:sz w:val="27"/>
          <w:szCs w:val="27"/>
        </w:rPr>
        <w:t xml:space="preserve"> </w:t>
      </w:r>
      <w:r w:rsidR="00DF2FE6" w:rsidRPr="00370836">
        <w:rPr>
          <w:sz w:val="27"/>
          <w:szCs w:val="27"/>
        </w:rPr>
        <w:t>(</w:t>
      </w:r>
      <w:r w:rsidR="00D525DC" w:rsidRPr="00370836">
        <w:rPr>
          <w:sz w:val="27"/>
          <w:szCs w:val="27"/>
        </w:rPr>
        <w:t>регистрационны</w:t>
      </w:r>
      <w:r w:rsidR="005D3664" w:rsidRPr="00370836">
        <w:rPr>
          <w:sz w:val="27"/>
          <w:szCs w:val="27"/>
        </w:rPr>
        <w:t>е</w:t>
      </w:r>
      <w:r w:rsidR="00D525DC" w:rsidRPr="00370836">
        <w:rPr>
          <w:sz w:val="27"/>
          <w:szCs w:val="27"/>
        </w:rPr>
        <w:t xml:space="preserve"> </w:t>
      </w:r>
      <w:r w:rsidR="00E20ADF" w:rsidRPr="00370836">
        <w:rPr>
          <w:sz w:val="27"/>
          <w:szCs w:val="27"/>
        </w:rPr>
        <w:t xml:space="preserve">№ </w:t>
      </w:r>
      <w:r w:rsidR="00A41E7F" w:rsidRPr="00370836">
        <w:rPr>
          <w:sz w:val="27"/>
          <w:szCs w:val="27"/>
        </w:rPr>
        <w:t>1736, № 1737</w:t>
      </w:r>
      <w:r w:rsidR="0016291B" w:rsidRPr="00370836">
        <w:rPr>
          <w:sz w:val="27"/>
          <w:szCs w:val="27"/>
        </w:rPr>
        <w:t xml:space="preserve"> от </w:t>
      </w:r>
      <w:r w:rsidR="00A41E7F" w:rsidRPr="00370836">
        <w:rPr>
          <w:sz w:val="27"/>
          <w:szCs w:val="27"/>
        </w:rPr>
        <w:t>27.04.2017</w:t>
      </w:r>
      <w:r w:rsidR="00D525DC" w:rsidRPr="00370836">
        <w:rPr>
          <w:sz w:val="27"/>
          <w:szCs w:val="27"/>
        </w:rPr>
        <w:t>).</w:t>
      </w:r>
    </w:p>
    <w:p w:rsidR="00584A52" w:rsidRPr="00370836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Приказом службы по тарифам Астраханской области </w:t>
      </w:r>
      <w:r w:rsidR="00FD61D9" w:rsidRPr="00370836">
        <w:rPr>
          <w:sz w:val="27"/>
          <w:szCs w:val="27"/>
        </w:rPr>
        <w:t xml:space="preserve">от </w:t>
      </w:r>
      <w:r w:rsidR="00A41E7F" w:rsidRPr="00370836">
        <w:rPr>
          <w:sz w:val="27"/>
          <w:szCs w:val="27"/>
        </w:rPr>
        <w:t>12.05.2017</w:t>
      </w:r>
      <w:r w:rsidR="00D75DA8" w:rsidRPr="00370836">
        <w:rPr>
          <w:sz w:val="27"/>
          <w:szCs w:val="27"/>
        </w:rPr>
        <w:t xml:space="preserve"> № </w:t>
      </w:r>
      <w:r w:rsidR="00A41E7F" w:rsidRPr="00370836">
        <w:rPr>
          <w:sz w:val="27"/>
          <w:szCs w:val="27"/>
        </w:rPr>
        <w:t>147</w:t>
      </w:r>
      <w:r w:rsidR="00D75DA8" w:rsidRPr="00370836">
        <w:rPr>
          <w:sz w:val="27"/>
          <w:szCs w:val="27"/>
        </w:rPr>
        <w:t xml:space="preserve"> </w:t>
      </w:r>
      <w:r w:rsidRPr="00370836">
        <w:rPr>
          <w:sz w:val="27"/>
          <w:szCs w:val="27"/>
        </w:rPr>
        <w:t xml:space="preserve">открыто дело </w:t>
      </w:r>
      <w:r w:rsidR="007419F0" w:rsidRPr="00370836">
        <w:rPr>
          <w:sz w:val="27"/>
          <w:szCs w:val="27"/>
        </w:rPr>
        <w:t xml:space="preserve">об установлении </w:t>
      </w:r>
      <w:r w:rsidR="00A41E7F" w:rsidRPr="00370836">
        <w:rPr>
          <w:bCs/>
          <w:sz w:val="27"/>
          <w:szCs w:val="27"/>
        </w:rPr>
        <w:t xml:space="preserve">МУП «Лиманское», ЖКХ МО «Рабочий поселок Лиман» </w:t>
      </w:r>
      <w:r w:rsidR="00FD61D9" w:rsidRPr="00370836">
        <w:rPr>
          <w:sz w:val="27"/>
          <w:szCs w:val="27"/>
        </w:rPr>
        <w:t>тариф</w:t>
      </w:r>
      <w:r w:rsidR="005D3664" w:rsidRPr="00370836">
        <w:rPr>
          <w:sz w:val="27"/>
          <w:szCs w:val="27"/>
        </w:rPr>
        <w:t>ов</w:t>
      </w:r>
      <w:r w:rsidR="00FD61D9" w:rsidRPr="00370836">
        <w:rPr>
          <w:sz w:val="27"/>
          <w:szCs w:val="27"/>
        </w:rPr>
        <w:t xml:space="preserve"> </w:t>
      </w:r>
      <w:r w:rsidR="00FD61D9" w:rsidRPr="00370836">
        <w:rPr>
          <w:color w:val="000000"/>
          <w:sz w:val="27"/>
          <w:szCs w:val="27"/>
        </w:rPr>
        <w:t>в сфере холодного водоснабжения</w:t>
      </w:r>
      <w:r w:rsidR="005D3664" w:rsidRPr="00370836">
        <w:rPr>
          <w:color w:val="000000"/>
          <w:sz w:val="27"/>
          <w:szCs w:val="27"/>
        </w:rPr>
        <w:t xml:space="preserve"> и водо</w:t>
      </w:r>
      <w:r w:rsidR="0095639D" w:rsidRPr="00370836">
        <w:rPr>
          <w:color w:val="000000"/>
          <w:sz w:val="27"/>
          <w:szCs w:val="27"/>
        </w:rPr>
        <w:t>о</w:t>
      </w:r>
      <w:r w:rsidR="005D3664" w:rsidRPr="00370836">
        <w:rPr>
          <w:color w:val="000000"/>
          <w:sz w:val="27"/>
          <w:szCs w:val="27"/>
        </w:rPr>
        <w:t>тведения</w:t>
      </w:r>
      <w:r w:rsidR="006E15D4" w:rsidRPr="00370836">
        <w:rPr>
          <w:color w:val="000000"/>
          <w:sz w:val="27"/>
          <w:szCs w:val="27"/>
        </w:rPr>
        <w:t>,</w:t>
      </w:r>
      <w:r w:rsidR="00652B35" w:rsidRPr="00370836">
        <w:rPr>
          <w:sz w:val="27"/>
          <w:szCs w:val="27"/>
        </w:rPr>
        <w:t xml:space="preserve"> </w:t>
      </w:r>
      <w:r w:rsidRPr="00370836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370836">
        <w:rPr>
          <w:sz w:val="27"/>
          <w:szCs w:val="27"/>
        </w:rPr>
        <w:t>о</w:t>
      </w:r>
      <w:r w:rsidRPr="00370836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370836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По представленным </w:t>
      </w:r>
      <w:r w:rsidR="008A47E6" w:rsidRPr="00370836">
        <w:rPr>
          <w:sz w:val="27"/>
          <w:szCs w:val="27"/>
        </w:rPr>
        <w:t>материалам проведена экспертиза».</w:t>
      </w:r>
    </w:p>
    <w:p w:rsidR="0016291B" w:rsidRPr="00370836" w:rsidRDefault="0016291B" w:rsidP="0016291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>Уполномоченный по делу огласил экспертное заключение, которое содержит:</w:t>
      </w:r>
    </w:p>
    <w:p w:rsidR="0016291B" w:rsidRPr="00370836" w:rsidRDefault="0016291B" w:rsidP="0016291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lastRenderedPageBreak/>
        <w:t>- определ</w:t>
      </w:r>
      <w:r w:rsidR="009E426D" w:rsidRPr="00370836">
        <w:rPr>
          <w:sz w:val="27"/>
          <w:szCs w:val="27"/>
        </w:rPr>
        <w:t>ение метода регулирования тарифов и выбор вида тарифов</w:t>
      </w:r>
      <w:r w:rsidR="00A41E7F" w:rsidRPr="00370836">
        <w:rPr>
          <w:bCs/>
          <w:sz w:val="27"/>
          <w:szCs w:val="27"/>
        </w:rPr>
        <w:t xml:space="preserve"> МУП «Лиманское», ЖКХ МО «Рабочий поселок Лиман</w:t>
      </w:r>
      <w:r w:rsidR="005D3664" w:rsidRPr="00370836">
        <w:rPr>
          <w:sz w:val="27"/>
          <w:szCs w:val="27"/>
        </w:rPr>
        <w:t>»</w:t>
      </w:r>
      <w:r w:rsidRPr="00370836">
        <w:rPr>
          <w:sz w:val="27"/>
          <w:szCs w:val="27"/>
        </w:rPr>
        <w:t>;</w:t>
      </w:r>
    </w:p>
    <w:p w:rsidR="0016291B" w:rsidRPr="00370836" w:rsidRDefault="005D3664" w:rsidP="0016291B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70836">
        <w:rPr>
          <w:sz w:val="27"/>
          <w:szCs w:val="27"/>
        </w:rPr>
        <w:t>- содержание производственных программ</w:t>
      </w:r>
      <w:r w:rsidR="0016291B" w:rsidRPr="00370836">
        <w:rPr>
          <w:sz w:val="27"/>
          <w:szCs w:val="27"/>
        </w:rPr>
        <w:t xml:space="preserve"> </w:t>
      </w:r>
      <w:r w:rsidR="00A41E7F" w:rsidRPr="00370836">
        <w:rPr>
          <w:bCs/>
          <w:sz w:val="27"/>
          <w:szCs w:val="27"/>
        </w:rPr>
        <w:t xml:space="preserve">МУП «Лиманское», ЖКХ МО «Рабочий поселок Лиман» </w:t>
      </w:r>
      <w:r w:rsidR="0016291B" w:rsidRPr="00370836">
        <w:rPr>
          <w:sz w:val="27"/>
          <w:szCs w:val="27"/>
        </w:rPr>
        <w:t>в сфере холодного</w:t>
      </w:r>
      <w:r w:rsidR="00D75DA8" w:rsidRPr="00370836">
        <w:rPr>
          <w:sz w:val="27"/>
          <w:szCs w:val="27"/>
        </w:rPr>
        <w:t xml:space="preserve"> водоснабжения</w:t>
      </w:r>
      <w:r w:rsidRPr="00370836">
        <w:rPr>
          <w:sz w:val="27"/>
          <w:szCs w:val="27"/>
        </w:rPr>
        <w:t xml:space="preserve"> и водоотведения</w:t>
      </w:r>
      <w:r w:rsidR="00A41E7F" w:rsidRPr="00370836">
        <w:rPr>
          <w:sz w:val="27"/>
          <w:szCs w:val="27"/>
        </w:rPr>
        <w:t xml:space="preserve"> на период с 01.01.2018 до 31.12.2020</w:t>
      </w:r>
      <w:r w:rsidR="0016291B" w:rsidRPr="00370836">
        <w:rPr>
          <w:sz w:val="27"/>
          <w:szCs w:val="27"/>
        </w:rPr>
        <w:t>;</w:t>
      </w:r>
    </w:p>
    <w:p w:rsidR="0016291B" w:rsidRPr="00370836" w:rsidRDefault="0016291B" w:rsidP="0016291B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7"/>
          <w:szCs w:val="27"/>
        </w:rPr>
      </w:pPr>
      <w:r w:rsidRPr="00370836">
        <w:rPr>
          <w:bCs/>
          <w:sz w:val="27"/>
          <w:szCs w:val="27"/>
        </w:rPr>
        <w:t xml:space="preserve">- расчет необходимой валовой выручки, экономически обоснованных расходов </w:t>
      </w:r>
      <w:r w:rsidR="00A41E7F" w:rsidRPr="00370836">
        <w:rPr>
          <w:bCs/>
          <w:sz w:val="27"/>
          <w:szCs w:val="27"/>
        </w:rPr>
        <w:t xml:space="preserve">МУП «Лиманское», ЖКХ МО «Рабочий поселок Лиман» </w:t>
      </w:r>
      <w:r w:rsidRPr="00370836">
        <w:rPr>
          <w:bCs/>
          <w:sz w:val="27"/>
          <w:szCs w:val="27"/>
        </w:rPr>
        <w:t xml:space="preserve">и размера </w:t>
      </w:r>
      <w:r w:rsidR="005D3664" w:rsidRPr="00370836">
        <w:rPr>
          <w:sz w:val="27"/>
          <w:szCs w:val="27"/>
        </w:rPr>
        <w:t>тарифов</w:t>
      </w:r>
      <w:r w:rsidRPr="00370836">
        <w:rPr>
          <w:sz w:val="27"/>
          <w:szCs w:val="27"/>
        </w:rPr>
        <w:t xml:space="preserve"> в сфере </w:t>
      </w:r>
      <w:r w:rsidR="00211A34" w:rsidRPr="00370836">
        <w:rPr>
          <w:sz w:val="27"/>
          <w:szCs w:val="27"/>
        </w:rPr>
        <w:t>холодного водоснабжения</w:t>
      </w:r>
      <w:r w:rsidR="005D3664" w:rsidRPr="00370836">
        <w:rPr>
          <w:sz w:val="27"/>
          <w:szCs w:val="27"/>
        </w:rPr>
        <w:t xml:space="preserve"> и водоотведения</w:t>
      </w:r>
      <w:r w:rsidRPr="00370836">
        <w:rPr>
          <w:sz w:val="27"/>
          <w:szCs w:val="27"/>
        </w:rPr>
        <w:t xml:space="preserve"> на период с 01.</w:t>
      </w:r>
      <w:r w:rsidR="00A41E7F" w:rsidRPr="00370836">
        <w:rPr>
          <w:sz w:val="27"/>
          <w:szCs w:val="27"/>
        </w:rPr>
        <w:t>01.2018</w:t>
      </w:r>
      <w:r w:rsidRPr="00370836">
        <w:rPr>
          <w:sz w:val="27"/>
          <w:szCs w:val="27"/>
        </w:rPr>
        <w:t xml:space="preserve"> до </w:t>
      </w:r>
      <w:r w:rsidR="00A41E7F" w:rsidRPr="00370836">
        <w:rPr>
          <w:sz w:val="27"/>
          <w:szCs w:val="27"/>
        </w:rPr>
        <w:t>31.12.2020</w:t>
      </w:r>
      <w:r w:rsidRPr="00370836">
        <w:rPr>
          <w:bCs/>
          <w:sz w:val="27"/>
          <w:szCs w:val="27"/>
        </w:rPr>
        <w:t>;</w:t>
      </w:r>
    </w:p>
    <w:p w:rsidR="0016291B" w:rsidRPr="00370836" w:rsidRDefault="0016291B" w:rsidP="0016291B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7"/>
          <w:szCs w:val="27"/>
        </w:rPr>
      </w:pPr>
      <w:r w:rsidRPr="00370836">
        <w:rPr>
          <w:bCs/>
          <w:sz w:val="27"/>
          <w:szCs w:val="27"/>
        </w:rPr>
        <w:t>- обоснование причин и ссылки на правовые нормы, на основании которых службой по тарифам Астраханской области принято решение</w:t>
      </w:r>
      <w:r w:rsidR="009E426D" w:rsidRPr="00370836">
        <w:rPr>
          <w:bCs/>
          <w:sz w:val="27"/>
          <w:szCs w:val="27"/>
        </w:rPr>
        <w:t xml:space="preserve"> об исключении из расчета тарифов</w:t>
      </w:r>
      <w:r w:rsidRPr="00370836">
        <w:rPr>
          <w:bCs/>
          <w:sz w:val="27"/>
          <w:szCs w:val="27"/>
        </w:rPr>
        <w:t xml:space="preserve"> экономически не обоснованных расходов, учтенных </w:t>
      </w:r>
      <w:r w:rsidR="00A41E7F" w:rsidRPr="00370836">
        <w:rPr>
          <w:bCs/>
          <w:sz w:val="27"/>
          <w:szCs w:val="27"/>
        </w:rPr>
        <w:t xml:space="preserve">МУП «Лиманское», ЖКХ МО «Рабочий поселок Лиман» </w:t>
      </w:r>
      <w:r w:rsidRPr="00370836">
        <w:rPr>
          <w:bCs/>
          <w:sz w:val="27"/>
          <w:szCs w:val="27"/>
        </w:rPr>
        <w:t>в предложении об установлении тариф</w:t>
      </w:r>
      <w:r w:rsidR="005D3664" w:rsidRPr="00370836">
        <w:rPr>
          <w:bCs/>
          <w:sz w:val="27"/>
          <w:szCs w:val="27"/>
        </w:rPr>
        <w:t>ов</w:t>
      </w:r>
      <w:r w:rsidRPr="00370836">
        <w:rPr>
          <w:bCs/>
          <w:sz w:val="27"/>
          <w:szCs w:val="27"/>
        </w:rPr>
        <w:t>.</w:t>
      </w:r>
    </w:p>
    <w:p w:rsidR="00D75DA8" w:rsidRPr="00370836" w:rsidRDefault="00A41E7F" w:rsidP="00D75DA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0836">
        <w:rPr>
          <w:bCs/>
          <w:sz w:val="27"/>
          <w:szCs w:val="27"/>
        </w:rPr>
        <w:t xml:space="preserve">МУП «Лиманское», ЖКХ МО «Рабочий поселок Лиман» </w:t>
      </w:r>
      <w:r w:rsidR="00D75DA8" w:rsidRPr="00370836">
        <w:rPr>
          <w:sz w:val="27"/>
          <w:szCs w:val="27"/>
        </w:rPr>
        <w:t xml:space="preserve">предлагается к установлению </w:t>
      </w:r>
      <w:r w:rsidR="005D3664" w:rsidRPr="00370836">
        <w:rPr>
          <w:sz w:val="27"/>
          <w:szCs w:val="27"/>
        </w:rPr>
        <w:t>следующие тарифы</w:t>
      </w:r>
      <w:r w:rsidR="008F2B0B" w:rsidRPr="00370836">
        <w:rPr>
          <w:sz w:val="27"/>
          <w:szCs w:val="27"/>
        </w:rPr>
        <w:t xml:space="preserve"> на</w:t>
      </w:r>
      <w:r w:rsidR="005D3664" w:rsidRPr="00370836">
        <w:rPr>
          <w:sz w:val="27"/>
          <w:szCs w:val="27"/>
        </w:rPr>
        <w:t>:</w:t>
      </w:r>
    </w:p>
    <w:p w:rsidR="008F2B0B" w:rsidRPr="00370836" w:rsidRDefault="008F2B0B" w:rsidP="00D75DA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>- техническую воду с календарной разбивкой:</w:t>
      </w:r>
    </w:p>
    <w:p w:rsidR="0052419E" w:rsidRPr="00370836" w:rsidRDefault="00DB5D17" w:rsidP="005241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01.01.2018 п</w:t>
      </w:r>
      <w:r w:rsidR="0052419E" w:rsidRPr="00370836">
        <w:rPr>
          <w:sz w:val="27"/>
          <w:szCs w:val="27"/>
        </w:rPr>
        <w:t xml:space="preserve">о 30.06.2018 – </w:t>
      </w:r>
      <w:r w:rsidR="00A41E7F" w:rsidRPr="00370836">
        <w:rPr>
          <w:sz w:val="27"/>
          <w:szCs w:val="27"/>
        </w:rPr>
        <w:t>9,25</w:t>
      </w:r>
      <w:r w:rsidR="0052419E" w:rsidRPr="00370836">
        <w:rPr>
          <w:sz w:val="27"/>
          <w:szCs w:val="27"/>
        </w:rPr>
        <w:t xml:space="preserve"> руб./куб. м. (без НДС);</w:t>
      </w:r>
    </w:p>
    <w:p w:rsidR="0052419E" w:rsidRPr="00370836" w:rsidRDefault="00DB5D17" w:rsidP="005241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01.07.2018 п</w:t>
      </w:r>
      <w:r w:rsidR="0052419E" w:rsidRPr="00370836">
        <w:rPr>
          <w:sz w:val="27"/>
          <w:szCs w:val="27"/>
        </w:rPr>
        <w:t xml:space="preserve">о 31.12.2018 – </w:t>
      </w:r>
      <w:r w:rsidR="00A41E7F" w:rsidRPr="00370836">
        <w:rPr>
          <w:sz w:val="27"/>
          <w:szCs w:val="27"/>
        </w:rPr>
        <w:t>9,62</w:t>
      </w:r>
      <w:r w:rsidR="00370836" w:rsidRPr="00370836">
        <w:rPr>
          <w:sz w:val="27"/>
          <w:szCs w:val="27"/>
        </w:rPr>
        <w:t xml:space="preserve"> руб./куб. м. (без НДС).</w:t>
      </w:r>
    </w:p>
    <w:p w:rsidR="0052419E" w:rsidRPr="00370836" w:rsidRDefault="0052419E" w:rsidP="005241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>- водоотведение с календарной разбивкой:</w:t>
      </w:r>
    </w:p>
    <w:p w:rsidR="0052419E" w:rsidRPr="00370836" w:rsidRDefault="00DB5D17" w:rsidP="005241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01.01.2018 п</w:t>
      </w:r>
      <w:r w:rsidR="0052419E" w:rsidRPr="00370836">
        <w:rPr>
          <w:sz w:val="27"/>
          <w:szCs w:val="27"/>
        </w:rPr>
        <w:t xml:space="preserve">о 30.06.2018 – </w:t>
      </w:r>
      <w:r>
        <w:rPr>
          <w:sz w:val="27"/>
          <w:szCs w:val="27"/>
        </w:rPr>
        <w:t>87,47</w:t>
      </w:r>
      <w:r w:rsidR="0052419E" w:rsidRPr="00370836">
        <w:rPr>
          <w:sz w:val="27"/>
          <w:szCs w:val="27"/>
        </w:rPr>
        <w:t xml:space="preserve"> руб./куб. м. (без НДС);</w:t>
      </w:r>
    </w:p>
    <w:p w:rsidR="0052419E" w:rsidRPr="00370836" w:rsidRDefault="00DB5D17" w:rsidP="005241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01.07.2018 п</w:t>
      </w:r>
      <w:r w:rsidR="0052419E" w:rsidRPr="00370836">
        <w:rPr>
          <w:sz w:val="27"/>
          <w:szCs w:val="27"/>
        </w:rPr>
        <w:t>о 31.12.2018</w:t>
      </w:r>
      <w:r w:rsidR="00370836" w:rsidRPr="00370836">
        <w:rPr>
          <w:sz w:val="27"/>
          <w:szCs w:val="27"/>
        </w:rPr>
        <w:t xml:space="preserve"> – </w:t>
      </w:r>
      <w:r>
        <w:rPr>
          <w:sz w:val="27"/>
          <w:szCs w:val="27"/>
        </w:rPr>
        <w:t>87,66</w:t>
      </w:r>
      <w:r w:rsidR="00370836" w:rsidRPr="00370836">
        <w:rPr>
          <w:sz w:val="27"/>
          <w:szCs w:val="27"/>
        </w:rPr>
        <w:t xml:space="preserve"> руб./куб. м. (без НДС).</w:t>
      </w:r>
    </w:p>
    <w:p w:rsidR="00D75DA8" w:rsidRPr="00370836" w:rsidRDefault="00D75DA8" w:rsidP="00D75DA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В соответствии с пунктом 31 </w:t>
      </w:r>
      <w:r w:rsidRPr="00370836">
        <w:rPr>
          <w:color w:val="000000"/>
          <w:sz w:val="27"/>
          <w:szCs w:val="27"/>
        </w:rPr>
        <w:t>Основ ценообразования в сфере водоснабжения и водоотведения, утвержденных постановлением Правительства РФ от 13.05.2013 №</w:t>
      </w:r>
      <w:r w:rsidR="00370836" w:rsidRPr="00370836">
        <w:rPr>
          <w:color w:val="000000"/>
          <w:sz w:val="27"/>
          <w:szCs w:val="27"/>
        </w:rPr>
        <w:t xml:space="preserve"> 406, приказом от 12.05.2017 № 147</w:t>
      </w:r>
      <w:r w:rsidRPr="00370836">
        <w:rPr>
          <w:color w:val="000000"/>
          <w:sz w:val="27"/>
          <w:szCs w:val="27"/>
        </w:rPr>
        <w:t xml:space="preserve"> экспертной группой выбран метод индексации.</w:t>
      </w:r>
    </w:p>
    <w:p w:rsidR="0047465C" w:rsidRPr="00370836" w:rsidRDefault="0047465C" w:rsidP="0016291B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370836">
        <w:rPr>
          <w:color w:val="000000"/>
          <w:sz w:val="27"/>
          <w:szCs w:val="27"/>
        </w:rPr>
        <w:t>При установлении тариф</w:t>
      </w:r>
      <w:r w:rsidR="0052419E" w:rsidRPr="00370836">
        <w:rPr>
          <w:color w:val="000000"/>
          <w:sz w:val="27"/>
          <w:szCs w:val="27"/>
        </w:rPr>
        <w:t>ов</w:t>
      </w:r>
      <w:r w:rsidRPr="00370836">
        <w:rPr>
          <w:color w:val="000000"/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52419E" w:rsidRPr="00370836" w:rsidRDefault="00D75DA8" w:rsidP="00D75DA8">
      <w:pPr>
        <w:ind w:firstLine="720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370836" w:rsidRPr="00370836">
        <w:rPr>
          <w:bCs/>
          <w:sz w:val="27"/>
          <w:szCs w:val="27"/>
        </w:rPr>
        <w:t xml:space="preserve">МУП «Лиманское», ЖКХ МО «Рабочий поселок Лиман» (ОГРН 1043002784318) </w:t>
      </w:r>
      <w:r w:rsidR="0052419E" w:rsidRPr="00370836">
        <w:rPr>
          <w:sz w:val="27"/>
          <w:szCs w:val="27"/>
        </w:rPr>
        <w:t>тарифов</w:t>
      </w:r>
      <w:r w:rsidRPr="00370836">
        <w:rPr>
          <w:sz w:val="27"/>
          <w:szCs w:val="27"/>
        </w:rPr>
        <w:t xml:space="preserve"> в сфере холодного водоснабжения</w:t>
      </w:r>
      <w:r w:rsidR="0052419E" w:rsidRPr="00370836">
        <w:rPr>
          <w:sz w:val="27"/>
          <w:szCs w:val="27"/>
        </w:rPr>
        <w:t xml:space="preserve"> и водоотведения</w:t>
      </w:r>
      <w:r w:rsidRPr="00370836">
        <w:rPr>
          <w:sz w:val="27"/>
          <w:szCs w:val="27"/>
        </w:rPr>
        <w:t xml:space="preserve"> на 201</w:t>
      </w:r>
      <w:r w:rsidR="00370836" w:rsidRPr="00370836">
        <w:rPr>
          <w:sz w:val="27"/>
          <w:szCs w:val="27"/>
        </w:rPr>
        <w:t>8-2020</w:t>
      </w:r>
      <w:r w:rsidRPr="00370836">
        <w:rPr>
          <w:sz w:val="27"/>
          <w:szCs w:val="27"/>
        </w:rPr>
        <w:t xml:space="preserve"> гг., экспертной группой предлагае</w:t>
      </w:r>
      <w:r w:rsidR="0052419E" w:rsidRPr="00370836">
        <w:rPr>
          <w:sz w:val="27"/>
          <w:szCs w:val="27"/>
        </w:rPr>
        <w:t>тся к установлению:</w:t>
      </w:r>
    </w:p>
    <w:p w:rsidR="00D75DA8" w:rsidRPr="00370836" w:rsidRDefault="00D71A6F" w:rsidP="00D71A6F">
      <w:pPr>
        <w:pStyle w:val="aa"/>
        <w:numPr>
          <w:ilvl w:val="0"/>
          <w:numId w:val="17"/>
        </w:numPr>
        <w:jc w:val="both"/>
        <w:rPr>
          <w:sz w:val="27"/>
          <w:szCs w:val="27"/>
        </w:rPr>
      </w:pPr>
      <w:proofErr w:type="spellStart"/>
      <w:r w:rsidRPr="00370836">
        <w:rPr>
          <w:sz w:val="27"/>
          <w:szCs w:val="27"/>
        </w:rPr>
        <w:t>Одноставочный</w:t>
      </w:r>
      <w:proofErr w:type="spellEnd"/>
      <w:r w:rsidRPr="00370836">
        <w:rPr>
          <w:sz w:val="27"/>
          <w:szCs w:val="27"/>
        </w:rPr>
        <w:t xml:space="preserve"> тариф на </w:t>
      </w:r>
      <w:r w:rsidR="00D75DA8" w:rsidRPr="00370836">
        <w:rPr>
          <w:sz w:val="27"/>
          <w:szCs w:val="27"/>
        </w:rPr>
        <w:t>техническую воду с календарной разбивкой:</w:t>
      </w:r>
    </w:p>
    <w:p w:rsidR="00F27194" w:rsidRPr="00370836" w:rsidRDefault="00DB5D17" w:rsidP="00F27194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01.01.2018 п</w:t>
      </w:r>
      <w:r w:rsidR="00370836" w:rsidRPr="00370836">
        <w:rPr>
          <w:sz w:val="27"/>
          <w:szCs w:val="27"/>
        </w:rPr>
        <w:t>о 30.06.2018</w:t>
      </w:r>
      <w:r w:rsidR="00F27194" w:rsidRPr="00370836">
        <w:rPr>
          <w:sz w:val="27"/>
          <w:szCs w:val="27"/>
        </w:rPr>
        <w:t xml:space="preserve"> –</w:t>
      </w:r>
      <w:r w:rsidR="0099743A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9,25 </w:t>
      </w:r>
      <w:r w:rsidR="00F27194" w:rsidRPr="00370836">
        <w:rPr>
          <w:sz w:val="27"/>
          <w:szCs w:val="27"/>
        </w:rPr>
        <w:t>руб./куб. м. (без НДС);</w:t>
      </w:r>
    </w:p>
    <w:p w:rsidR="00F27194" w:rsidRPr="00370836" w:rsidRDefault="00F27194" w:rsidP="00F2719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>с 01.07</w:t>
      </w:r>
      <w:r w:rsidR="00DB5D17">
        <w:rPr>
          <w:sz w:val="27"/>
          <w:szCs w:val="27"/>
        </w:rPr>
        <w:t>.2018 п</w:t>
      </w:r>
      <w:r w:rsidR="00370836" w:rsidRPr="00370836">
        <w:rPr>
          <w:sz w:val="27"/>
          <w:szCs w:val="27"/>
        </w:rPr>
        <w:t>о 31.12.2018</w:t>
      </w:r>
      <w:r w:rsidRPr="00370836">
        <w:rPr>
          <w:sz w:val="27"/>
          <w:szCs w:val="27"/>
        </w:rPr>
        <w:t xml:space="preserve"> – </w:t>
      </w:r>
      <w:r w:rsidR="00DB5D17">
        <w:rPr>
          <w:sz w:val="27"/>
          <w:szCs w:val="27"/>
        </w:rPr>
        <w:t xml:space="preserve">9,61 </w:t>
      </w:r>
      <w:r w:rsidRPr="00370836">
        <w:rPr>
          <w:sz w:val="27"/>
          <w:szCs w:val="27"/>
        </w:rPr>
        <w:t>руб./куб. м. (без НДС);</w:t>
      </w:r>
    </w:p>
    <w:p w:rsidR="00F27194" w:rsidRPr="00370836" w:rsidRDefault="00DB5D17" w:rsidP="00F27194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01.01.2019 п</w:t>
      </w:r>
      <w:r w:rsidR="00370836" w:rsidRPr="00370836">
        <w:rPr>
          <w:sz w:val="27"/>
          <w:szCs w:val="27"/>
        </w:rPr>
        <w:t>о 30.06.2019</w:t>
      </w:r>
      <w:r w:rsidR="00F27194" w:rsidRPr="00370836">
        <w:rPr>
          <w:sz w:val="27"/>
          <w:szCs w:val="27"/>
        </w:rPr>
        <w:t xml:space="preserve"> – </w:t>
      </w:r>
      <w:r>
        <w:rPr>
          <w:sz w:val="27"/>
          <w:szCs w:val="27"/>
        </w:rPr>
        <w:t>9,61</w:t>
      </w:r>
      <w:r w:rsidR="00F27194" w:rsidRPr="00370836">
        <w:rPr>
          <w:sz w:val="27"/>
          <w:szCs w:val="27"/>
        </w:rPr>
        <w:t xml:space="preserve"> руб./куб. м. (без НДС);</w:t>
      </w:r>
    </w:p>
    <w:p w:rsidR="00F27194" w:rsidRPr="00370836" w:rsidRDefault="00DB5D17" w:rsidP="00F27194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01.07.2019 п</w:t>
      </w:r>
      <w:r w:rsidR="00370836" w:rsidRPr="00370836">
        <w:rPr>
          <w:sz w:val="27"/>
          <w:szCs w:val="27"/>
        </w:rPr>
        <w:t>о 31.12.2019</w:t>
      </w:r>
      <w:r w:rsidR="00F27194" w:rsidRPr="00370836">
        <w:rPr>
          <w:sz w:val="27"/>
          <w:szCs w:val="27"/>
        </w:rPr>
        <w:t xml:space="preserve"> – </w:t>
      </w:r>
      <w:r w:rsidR="0099743A">
        <w:rPr>
          <w:sz w:val="27"/>
          <w:szCs w:val="27"/>
        </w:rPr>
        <w:t>10,00</w:t>
      </w:r>
      <w:r w:rsidR="00F27194" w:rsidRPr="00370836">
        <w:rPr>
          <w:sz w:val="27"/>
          <w:szCs w:val="27"/>
        </w:rPr>
        <w:t xml:space="preserve"> руб./куб. м. (без НДС);</w:t>
      </w:r>
    </w:p>
    <w:p w:rsidR="00F27194" w:rsidRPr="00370836" w:rsidRDefault="00370836" w:rsidP="00F2719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>с 01.01.2020</w:t>
      </w:r>
      <w:r w:rsidR="00DB5D17">
        <w:rPr>
          <w:sz w:val="27"/>
          <w:szCs w:val="27"/>
        </w:rPr>
        <w:t xml:space="preserve"> п</w:t>
      </w:r>
      <w:r w:rsidR="00F27194" w:rsidRPr="00370836">
        <w:rPr>
          <w:sz w:val="27"/>
          <w:szCs w:val="27"/>
        </w:rPr>
        <w:t>о 30.06.20</w:t>
      </w:r>
      <w:r w:rsidRPr="00370836">
        <w:rPr>
          <w:sz w:val="27"/>
          <w:szCs w:val="27"/>
        </w:rPr>
        <w:t>20</w:t>
      </w:r>
      <w:r w:rsidR="00F27194" w:rsidRPr="00370836">
        <w:rPr>
          <w:sz w:val="27"/>
          <w:szCs w:val="27"/>
        </w:rPr>
        <w:t xml:space="preserve"> – </w:t>
      </w:r>
      <w:r w:rsidR="0099743A">
        <w:rPr>
          <w:sz w:val="27"/>
          <w:szCs w:val="27"/>
        </w:rPr>
        <w:t>10,00</w:t>
      </w:r>
      <w:r w:rsidR="00F27194" w:rsidRPr="00370836">
        <w:rPr>
          <w:sz w:val="27"/>
          <w:szCs w:val="27"/>
        </w:rPr>
        <w:t xml:space="preserve"> руб./куб. м. (без НДС);</w:t>
      </w:r>
    </w:p>
    <w:p w:rsidR="00F27194" w:rsidRPr="00370836" w:rsidRDefault="00F27194" w:rsidP="00F2719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>с 01.07.20</w:t>
      </w:r>
      <w:r w:rsidR="00370836" w:rsidRPr="00370836">
        <w:rPr>
          <w:sz w:val="27"/>
          <w:szCs w:val="27"/>
        </w:rPr>
        <w:t>20</w:t>
      </w:r>
      <w:r w:rsidR="00DB5D17">
        <w:rPr>
          <w:sz w:val="27"/>
          <w:szCs w:val="27"/>
        </w:rPr>
        <w:t xml:space="preserve"> п</w:t>
      </w:r>
      <w:r w:rsidRPr="00370836">
        <w:rPr>
          <w:sz w:val="27"/>
          <w:szCs w:val="27"/>
        </w:rPr>
        <w:t>о 31.12.20</w:t>
      </w:r>
      <w:r w:rsidR="00370836" w:rsidRPr="00370836">
        <w:rPr>
          <w:sz w:val="27"/>
          <w:szCs w:val="27"/>
        </w:rPr>
        <w:t>20</w:t>
      </w:r>
      <w:r w:rsidR="0052419E" w:rsidRPr="00370836">
        <w:rPr>
          <w:sz w:val="27"/>
          <w:szCs w:val="27"/>
        </w:rPr>
        <w:t xml:space="preserve"> – </w:t>
      </w:r>
      <w:r w:rsidR="0099743A">
        <w:rPr>
          <w:sz w:val="27"/>
          <w:szCs w:val="27"/>
        </w:rPr>
        <w:t>10,26</w:t>
      </w:r>
      <w:r w:rsidR="0052419E" w:rsidRPr="00370836">
        <w:rPr>
          <w:sz w:val="27"/>
          <w:szCs w:val="27"/>
        </w:rPr>
        <w:t xml:space="preserve"> руб./куб. м. (без НДС);</w:t>
      </w:r>
    </w:p>
    <w:p w:rsidR="0052419E" w:rsidRPr="00370836" w:rsidRDefault="00D71A6F" w:rsidP="00D71A6F">
      <w:pPr>
        <w:pStyle w:val="aa"/>
        <w:numPr>
          <w:ilvl w:val="0"/>
          <w:numId w:val="17"/>
        </w:numPr>
        <w:tabs>
          <w:tab w:val="left" w:pos="993"/>
        </w:tabs>
        <w:jc w:val="both"/>
        <w:rPr>
          <w:sz w:val="27"/>
          <w:szCs w:val="27"/>
        </w:rPr>
      </w:pPr>
      <w:proofErr w:type="spellStart"/>
      <w:r w:rsidRPr="00370836">
        <w:rPr>
          <w:sz w:val="27"/>
          <w:szCs w:val="27"/>
        </w:rPr>
        <w:t>Одноставочный</w:t>
      </w:r>
      <w:proofErr w:type="spellEnd"/>
      <w:r w:rsidRPr="00370836">
        <w:rPr>
          <w:sz w:val="27"/>
          <w:szCs w:val="27"/>
        </w:rPr>
        <w:t xml:space="preserve"> тариф на </w:t>
      </w:r>
      <w:r w:rsidR="0052419E" w:rsidRPr="00370836">
        <w:rPr>
          <w:sz w:val="27"/>
          <w:szCs w:val="27"/>
        </w:rPr>
        <w:t>водоотведение с календарной разбивкой:</w:t>
      </w:r>
    </w:p>
    <w:p w:rsidR="0052419E" w:rsidRPr="00370836" w:rsidRDefault="00DB5D17" w:rsidP="005241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01.01.2018 п</w:t>
      </w:r>
      <w:r w:rsidR="0052419E" w:rsidRPr="00370836">
        <w:rPr>
          <w:sz w:val="27"/>
          <w:szCs w:val="27"/>
        </w:rPr>
        <w:t>о 30.06.201</w:t>
      </w:r>
      <w:r>
        <w:rPr>
          <w:sz w:val="27"/>
          <w:szCs w:val="27"/>
        </w:rPr>
        <w:t>8</w:t>
      </w:r>
      <w:r w:rsidR="0052419E" w:rsidRPr="00370836">
        <w:rPr>
          <w:sz w:val="27"/>
          <w:szCs w:val="27"/>
        </w:rPr>
        <w:t xml:space="preserve"> – </w:t>
      </w:r>
      <w:r>
        <w:rPr>
          <w:sz w:val="27"/>
          <w:szCs w:val="27"/>
        </w:rPr>
        <w:t>59,38</w:t>
      </w:r>
      <w:r w:rsidR="0052419E" w:rsidRPr="00370836">
        <w:rPr>
          <w:sz w:val="27"/>
          <w:szCs w:val="27"/>
        </w:rPr>
        <w:t xml:space="preserve"> руб./куб. м. (без НДС);</w:t>
      </w:r>
    </w:p>
    <w:p w:rsidR="0052419E" w:rsidRPr="00370836" w:rsidRDefault="00DB5D17" w:rsidP="005241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01.07.2018 п</w:t>
      </w:r>
      <w:r w:rsidR="0052419E" w:rsidRPr="00370836">
        <w:rPr>
          <w:sz w:val="27"/>
          <w:szCs w:val="27"/>
        </w:rPr>
        <w:t>о 31.12.201</w:t>
      </w:r>
      <w:r>
        <w:rPr>
          <w:sz w:val="27"/>
          <w:szCs w:val="27"/>
        </w:rPr>
        <w:t>8</w:t>
      </w:r>
      <w:r w:rsidR="0052419E" w:rsidRPr="00370836">
        <w:rPr>
          <w:sz w:val="27"/>
          <w:szCs w:val="27"/>
        </w:rPr>
        <w:t xml:space="preserve"> – </w:t>
      </w:r>
      <w:r>
        <w:rPr>
          <w:sz w:val="27"/>
          <w:szCs w:val="27"/>
        </w:rPr>
        <w:t>61,</w:t>
      </w:r>
      <w:r w:rsidR="00404C32">
        <w:rPr>
          <w:sz w:val="27"/>
          <w:szCs w:val="27"/>
        </w:rPr>
        <w:t>62</w:t>
      </w:r>
      <w:r w:rsidR="0052419E" w:rsidRPr="00370836">
        <w:rPr>
          <w:sz w:val="27"/>
          <w:szCs w:val="27"/>
        </w:rPr>
        <w:t xml:space="preserve"> руб./куб. м. (без НДС);</w:t>
      </w:r>
    </w:p>
    <w:p w:rsidR="0052419E" w:rsidRPr="00370836" w:rsidRDefault="00DB5D17" w:rsidP="005241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01.01.2019 п</w:t>
      </w:r>
      <w:r w:rsidR="0052419E" w:rsidRPr="00370836">
        <w:rPr>
          <w:sz w:val="27"/>
          <w:szCs w:val="27"/>
        </w:rPr>
        <w:t>о 30.06.201</w:t>
      </w:r>
      <w:r>
        <w:rPr>
          <w:sz w:val="27"/>
          <w:szCs w:val="27"/>
        </w:rPr>
        <w:t>9</w:t>
      </w:r>
      <w:r w:rsidR="0052419E" w:rsidRPr="00370836">
        <w:rPr>
          <w:sz w:val="27"/>
          <w:szCs w:val="27"/>
        </w:rPr>
        <w:t xml:space="preserve"> – </w:t>
      </w:r>
      <w:r>
        <w:rPr>
          <w:sz w:val="27"/>
          <w:szCs w:val="27"/>
        </w:rPr>
        <w:t>61,</w:t>
      </w:r>
      <w:r w:rsidR="00404C32">
        <w:rPr>
          <w:sz w:val="27"/>
          <w:szCs w:val="27"/>
        </w:rPr>
        <w:t>62</w:t>
      </w:r>
      <w:r w:rsidR="0052419E" w:rsidRPr="00370836">
        <w:rPr>
          <w:sz w:val="27"/>
          <w:szCs w:val="27"/>
        </w:rPr>
        <w:t xml:space="preserve"> руб./куб. м. (без НДС);</w:t>
      </w:r>
    </w:p>
    <w:p w:rsidR="0052419E" w:rsidRPr="00370836" w:rsidRDefault="00DB5D17" w:rsidP="005241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01.07.2019 п</w:t>
      </w:r>
      <w:r w:rsidR="0052419E" w:rsidRPr="00370836">
        <w:rPr>
          <w:sz w:val="27"/>
          <w:szCs w:val="27"/>
        </w:rPr>
        <w:t>о 31.12.201</w:t>
      </w:r>
      <w:r>
        <w:rPr>
          <w:sz w:val="27"/>
          <w:szCs w:val="27"/>
        </w:rPr>
        <w:t>9</w:t>
      </w:r>
      <w:r w:rsidR="0052419E" w:rsidRPr="00370836">
        <w:rPr>
          <w:sz w:val="27"/>
          <w:szCs w:val="27"/>
        </w:rPr>
        <w:t xml:space="preserve"> – </w:t>
      </w:r>
      <w:r>
        <w:rPr>
          <w:sz w:val="27"/>
          <w:szCs w:val="27"/>
        </w:rPr>
        <w:t>63,</w:t>
      </w:r>
      <w:r w:rsidR="00404C32">
        <w:rPr>
          <w:sz w:val="27"/>
          <w:szCs w:val="27"/>
        </w:rPr>
        <w:t xml:space="preserve">02 </w:t>
      </w:r>
      <w:r w:rsidR="0052419E" w:rsidRPr="00370836">
        <w:rPr>
          <w:sz w:val="27"/>
          <w:szCs w:val="27"/>
        </w:rPr>
        <w:t>руб./куб. м. (без НДС);</w:t>
      </w:r>
    </w:p>
    <w:p w:rsidR="0052419E" w:rsidRPr="00370836" w:rsidRDefault="00DB5D17" w:rsidP="005241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01.01.2020 п</w:t>
      </w:r>
      <w:r w:rsidR="0052419E" w:rsidRPr="00370836">
        <w:rPr>
          <w:sz w:val="27"/>
          <w:szCs w:val="27"/>
        </w:rPr>
        <w:t>о 30.06.20</w:t>
      </w:r>
      <w:r>
        <w:rPr>
          <w:sz w:val="27"/>
          <w:szCs w:val="27"/>
        </w:rPr>
        <w:t>20</w:t>
      </w:r>
      <w:r w:rsidR="0052419E" w:rsidRPr="00370836">
        <w:rPr>
          <w:sz w:val="27"/>
          <w:szCs w:val="27"/>
        </w:rPr>
        <w:t xml:space="preserve"> – </w:t>
      </w:r>
      <w:r>
        <w:rPr>
          <w:sz w:val="27"/>
          <w:szCs w:val="27"/>
        </w:rPr>
        <w:t>63,</w:t>
      </w:r>
      <w:r w:rsidR="00404C32">
        <w:rPr>
          <w:sz w:val="27"/>
          <w:szCs w:val="27"/>
        </w:rPr>
        <w:t>02</w:t>
      </w:r>
      <w:r w:rsidR="0052419E" w:rsidRPr="00370836">
        <w:rPr>
          <w:sz w:val="27"/>
          <w:szCs w:val="27"/>
        </w:rPr>
        <w:t xml:space="preserve"> руб./куб. м. (без НДС);</w:t>
      </w:r>
    </w:p>
    <w:p w:rsidR="0052419E" w:rsidRPr="00370836" w:rsidRDefault="00DB5D17" w:rsidP="0052419E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с 01.07.2020 по 31.12.2020</w:t>
      </w:r>
      <w:r w:rsidR="0052419E" w:rsidRPr="00370836">
        <w:rPr>
          <w:sz w:val="27"/>
          <w:szCs w:val="27"/>
        </w:rPr>
        <w:t xml:space="preserve"> – </w:t>
      </w:r>
      <w:r w:rsidR="00404C32">
        <w:rPr>
          <w:sz w:val="27"/>
          <w:szCs w:val="27"/>
        </w:rPr>
        <w:t>65,40</w:t>
      </w:r>
      <w:r w:rsidR="0052419E" w:rsidRPr="00370836">
        <w:rPr>
          <w:sz w:val="27"/>
          <w:szCs w:val="27"/>
        </w:rPr>
        <w:t xml:space="preserve"> руб./куб. м. (без НДС).</w:t>
      </w:r>
    </w:p>
    <w:p w:rsidR="00DA3F18" w:rsidRPr="00370836" w:rsidRDefault="00DA3F18" w:rsidP="00910EC5">
      <w:pPr>
        <w:tabs>
          <w:tab w:val="left" w:pos="993"/>
        </w:tabs>
        <w:ind w:firstLine="709"/>
        <w:jc w:val="both"/>
        <w:rPr>
          <w:color w:val="FF0000"/>
          <w:sz w:val="27"/>
          <w:szCs w:val="27"/>
        </w:rPr>
      </w:pPr>
      <w:r w:rsidRPr="00370836">
        <w:rPr>
          <w:color w:val="000000"/>
          <w:sz w:val="27"/>
          <w:szCs w:val="27"/>
        </w:rPr>
        <w:t xml:space="preserve">С </w:t>
      </w:r>
      <w:r w:rsidR="00857B95" w:rsidRPr="00370836">
        <w:rPr>
          <w:color w:val="000000"/>
          <w:sz w:val="27"/>
          <w:szCs w:val="27"/>
        </w:rPr>
        <w:t>материалами экспертизы</w:t>
      </w:r>
      <w:r w:rsidRPr="00370836">
        <w:rPr>
          <w:color w:val="000000"/>
          <w:sz w:val="27"/>
          <w:szCs w:val="27"/>
        </w:rPr>
        <w:t xml:space="preserve"> представители </w:t>
      </w:r>
      <w:r w:rsidR="00370836" w:rsidRPr="006E5ACD">
        <w:rPr>
          <w:bCs/>
          <w:sz w:val="27"/>
          <w:szCs w:val="27"/>
        </w:rPr>
        <w:t>МУП «Лиманское», ЖКХ МО «Рабочий поселок Лиман»</w:t>
      </w:r>
      <w:r w:rsidR="00370836" w:rsidRPr="00370836">
        <w:rPr>
          <w:bCs/>
          <w:sz w:val="27"/>
          <w:szCs w:val="27"/>
        </w:rPr>
        <w:t xml:space="preserve"> </w:t>
      </w:r>
      <w:r w:rsidRPr="00370836">
        <w:rPr>
          <w:color w:val="000000"/>
          <w:sz w:val="27"/>
          <w:szCs w:val="27"/>
        </w:rPr>
        <w:t>ознакомлен</w:t>
      </w:r>
      <w:r w:rsidRPr="00103310">
        <w:rPr>
          <w:color w:val="000000"/>
          <w:sz w:val="27"/>
          <w:szCs w:val="27"/>
        </w:rPr>
        <w:t>ы</w:t>
      </w:r>
      <w:r w:rsidR="000E2BD1" w:rsidRPr="00103310">
        <w:rPr>
          <w:color w:val="000000"/>
          <w:sz w:val="27"/>
          <w:szCs w:val="27"/>
        </w:rPr>
        <w:t xml:space="preserve"> </w:t>
      </w:r>
      <w:r w:rsidR="00103310" w:rsidRPr="00103310">
        <w:rPr>
          <w:sz w:val="27"/>
          <w:szCs w:val="27"/>
        </w:rPr>
        <w:t>17</w:t>
      </w:r>
      <w:r w:rsidR="00370836" w:rsidRPr="00103310">
        <w:rPr>
          <w:sz w:val="27"/>
          <w:szCs w:val="27"/>
        </w:rPr>
        <w:t>.</w:t>
      </w:r>
      <w:r w:rsidR="00103310" w:rsidRPr="00103310">
        <w:rPr>
          <w:sz w:val="27"/>
          <w:szCs w:val="27"/>
        </w:rPr>
        <w:t>11</w:t>
      </w:r>
      <w:r w:rsidR="00370836" w:rsidRPr="00103310">
        <w:rPr>
          <w:sz w:val="27"/>
          <w:szCs w:val="27"/>
        </w:rPr>
        <w:t>.2017</w:t>
      </w:r>
      <w:r w:rsidR="000D64D2" w:rsidRPr="00103310">
        <w:rPr>
          <w:sz w:val="27"/>
          <w:szCs w:val="27"/>
        </w:rPr>
        <w:t xml:space="preserve"> </w:t>
      </w:r>
      <w:r w:rsidR="002801F2" w:rsidRPr="00103310">
        <w:rPr>
          <w:sz w:val="27"/>
          <w:szCs w:val="27"/>
        </w:rPr>
        <w:t>(письмо</w:t>
      </w:r>
      <w:r w:rsidR="00043169" w:rsidRPr="00103310">
        <w:rPr>
          <w:sz w:val="27"/>
          <w:szCs w:val="27"/>
        </w:rPr>
        <w:t xml:space="preserve"> регистрационный </w:t>
      </w:r>
      <w:r w:rsidR="00103310" w:rsidRPr="00103310">
        <w:rPr>
          <w:sz w:val="27"/>
          <w:szCs w:val="27"/>
        </w:rPr>
        <w:t xml:space="preserve">           </w:t>
      </w:r>
      <w:r w:rsidR="00043169" w:rsidRPr="00103310">
        <w:rPr>
          <w:sz w:val="27"/>
          <w:szCs w:val="27"/>
        </w:rPr>
        <w:t xml:space="preserve">№ </w:t>
      </w:r>
      <w:r w:rsidR="00103310" w:rsidRPr="00103310">
        <w:rPr>
          <w:sz w:val="27"/>
          <w:szCs w:val="27"/>
        </w:rPr>
        <w:t>4188</w:t>
      </w:r>
      <w:r w:rsidR="00B93A0C" w:rsidRPr="00103310">
        <w:rPr>
          <w:sz w:val="27"/>
          <w:szCs w:val="27"/>
        </w:rPr>
        <w:t xml:space="preserve"> </w:t>
      </w:r>
      <w:r w:rsidR="00211A34" w:rsidRPr="00103310">
        <w:rPr>
          <w:sz w:val="27"/>
          <w:szCs w:val="27"/>
        </w:rPr>
        <w:t xml:space="preserve">от </w:t>
      </w:r>
      <w:r w:rsidR="00103310" w:rsidRPr="00103310">
        <w:rPr>
          <w:sz w:val="27"/>
          <w:szCs w:val="27"/>
        </w:rPr>
        <w:t>20.11</w:t>
      </w:r>
      <w:r w:rsidR="00370836" w:rsidRPr="00103310">
        <w:rPr>
          <w:sz w:val="27"/>
          <w:szCs w:val="27"/>
        </w:rPr>
        <w:t>.2017</w:t>
      </w:r>
      <w:r w:rsidR="00043169" w:rsidRPr="00103310">
        <w:rPr>
          <w:sz w:val="27"/>
          <w:szCs w:val="27"/>
        </w:rPr>
        <w:t>).</w:t>
      </w:r>
    </w:p>
    <w:p w:rsidR="009663B4" w:rsidRPr="00370836" w:rsidRDefault="00F27194" w:rsidP="0052419E">
      <w:pPr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Основные показатели расчета тарифа на техническую воду </w:t>
      </w:r>
      <w:r w:rsidR="00370836" w:rsidRPr="006E5ACD">
        <w:rPr>
          <w:bCs/>
          <w:sz w:val="27"/>
          <w:szCs w:val="27"/>
        </w:rPr>
        <w:t>МУП «Лиманское», ЖКХ МО «Рабочий поселок Лиман»</w:t>
      </w:r>
      <w:r w:rsidR="00370836" w:rsidRPr="00370836">
        <w:rPr>
          <w:bCs/>
          <w:sz w:val="27"/>
          <w:szCs w:val="27"/>
        </w:rPr>
        <w:t xml:space="preserve"> </w:t>
      </w:r>
      <w:r w:rsidRPr="00370836">
        <w:rPr>
          <w:sz w:val="27"/>
          <w:szCs w:val="27"/>
        </w:rPr>
        <w:t>на долгосрочный период регулирования сведены в таблицу № 1.</w:t>
      </w:r>
    </w:p>
    <w:p w:rsidR="00F27194" w:rsidRDefault="00F27194" w:rsidP="00C964BA">
      <w:pPr>
        <w:ind w:firstLine="709"/>
        <w:jc w:val="right"/>
        <w:rPr>
          <w:sz w:val="28"/>
          <w:szCs w:val="28"/>
        </w:rPr>
      </w:pPr>
      <w:r w:rsidRPr="00370836">
        <w:rPr>
          <w:sz w:val="27"/>
          <w:szCs w:val="27"/>
        </w:rPr>
        <w:t>Таблица № 1</w:t>
      </w:r>
    </w:p>
    <w:p w:rsidR="009B7AFB" w:rsidRPr="009B7AFB" w:rsidRDefault="009B7AFB" w:rsidP="00C964BA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992"/>
        <w:gridCol w:w="992"/>
        <w:gridCol w:w="992"/>
        <w:gridCol w:w="1997"/>
      </w:tblGrid>
      <w:tr w:rsidR="00F27194" w:rsidRPr="004F5F3E" w:rsidTr="0095639D">
        <w:trPr>
          <w:tblHeader/>
        </w:trPr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976" w:type="dxa"/>
            <w:gridSpan w:val="3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27194" w:rsidRPr="004F5F3E" w:rsidTr="0095639D">
        <w:tc>
          <w:tcPr>
            <w:tcW w:w="5070" w:type="dxa"/>
            <w:gridSpan w:val="3"/>
            <w:vAlign w:val="center"/>
          </w:tcPr>
          <w:p w:rsidR="00F27194" w:rsidRPr="004F5F3E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370836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370836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3708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70836">
              <w:rPr>
                <w:sz w:val="20"/>
                <w:szCs w:val="20"/>
              </w:rPr>
              <w:t>20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F27194" w:rsidRPr="004F5F3E" w:rsidTr="0095639D">
        <w:trPr>
          <w:trHeight w:val="1187"/>
        </w:trPr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3708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</w:t>
            </w:r>
            <w:r w:rsidRPr="00F27194">
              <w:rPr>
                <w:bCs/>
                <w:color w:val="000000"/>
                <w:sz w:val="20"/>
                <w:szCs w:val="20"/>
              </w:rPr>
              <w:t>выручки</w:t>
            </w:r>
            <w:r w:rsidR="00370836" w:rsidRPr="006E5ACD">
              <w:rPr>
                <w:bCs/>
                <w:sz w:val="28"/>
                <w:szCs w:val="28"/>
              </w:rPr>
              <w:t xml:space="preserve"> </w:t>
            </w:r>
            <w:r w:rsidR="00370836" w:rsidRPr="00370836">
              <w:rPr>
                <w:bCs/>
                <w:sz w:val="20"/>
                <w:szCs w:val="20"/>
              </w:rPr>
              <w:t>МУП «Лиманское», ЖКХ МО «Рабочий поселок Лиман»</w:t>
            </w:r>
            <w:r w:rsidRPr="00F27194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тарифа, и основные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404C32" w:rsidP="00F2719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5558,00</w:t>
            </w:r>
          </w:p>
        </w:tc>
        <w:tc>
          <w:tcPr>
            <w:tcW w:w="992" w:type="dxa"/>
            <w:vAlign w:val="center"/>
          </w:tcPr>
          <w:p w:rsidR="00F27194" w:rsidRPr="00F27194" w:rsidRDefault="00404C32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5778,53</w:t>
            </w:r>
          </w:p>
        </w:tc>
        <w:tc>
          <w:tcPr>
            <w:tcW w:w="992" w:type="dxa"/>
            <w:vAlign w:val="center"/>
          </w:tcPr>
          <w:p w:rsidR="00F27194" w:rsidRPr="00F27194" w:rsidRDefault="00404C32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5970,83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DB5D17" w:rsidP="0099743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</w:t>
            </w:r>
            <w:r w:rsidR="0099743A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992" w:type="dxa"/>
            <w:vAlign w:val="center"/>
          </w:tcPr>
          <w:p w:rsidR="00F27194" w:rsidRPr="00F27194" w:rsidRDefault="00DB5D17" w:rsidP="0099743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</w:t>
            </w:r>
            <w:r w:rsidR="0099743A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992" w:type="dxa"/>
            <w:vAlign w:val="center"/>
          </w:tcPr>
          <w:p w:rsidR="00F27194" w:rsidRPr="00F27194" w:rsidRDefault="00DB5D17" w:rsidP="0099743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</w:t>
            </w:r>
            <w:r w:rsidR="0099743A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DB5D17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DB5D17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DB5D17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ED3F32" w:rsidRDefault="00F2719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F27194" w:rsidRPr="00ED3F32" w:rsidRDefault="00F27194" w:rsidP="006F12E4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99743A" w:rsidP="00DB5D17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5570,57</w:t>
            </w:r>
          </w:p>
        </w:tc>
        <w:tc>
          <w:tcPr>
            <w:tcW w:w="992" w:type="dxa"/>
            <w:vAlign w:val="center"/>
          </w:tcPr>
          <w:p w:rsidR="00F27194" w:rsidRPr="00F27194" w:rsidRDefault="0099743A" w:rsidP="00F2719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5791,10</w:t>
            </w:r>
          </w:p>
        </w:tc>
        <w:tc>
          <w:tcPr>
            <w:tcW w:w="992" w:type="dxa"/>
            <w:vAlign w:val="center"/>
          </w:tcPr>
          <w:p w:rsidR="00F27194" w:rsidRPr="00F27194" w:rsidRDefault="0099743A" w:rsidP="00F2719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5983,40</w:t>
            </w:r>
          </w:p>
        </w:tc>
        <w:tc>
          <w:tcPr>
            <w:tcW w:w="1997" w:type="dxa"/>
            <w:vAlign w:val="center"/>
          </w:tcPr>
          <w:p w:rsidR="00F27194" w:rsidRPr="00C86398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AA6361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F27194" w:rsidRDefault="00DB5D17" w:rsidP="006F12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590,8</w:t>
            </w:r>
          </w:p>
        </w:tc>
        <w:tc>
          <w:tcPr>
            <w:tcW w:w="992" w:type="dxa"/>
            <w:vAlign w:val="center"/>
          </w:tcPr>
          <w:p w:rsidR="00F27194" w:rsidRPr="00F27194" w:rsidRDefault="00DB5D17" w:rsidP="006F12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590,8</w:t>
            </w:r>
          </w:p>
        </w:tc>
        <w:tc>
          <w:tcPr>
            <w:tcW w:w="992" w:type="dxa"/>
            <w:vAlign w:val="center"/>
          </w:tcPr>
          <w:p w:rsidR="00F27194" w:rsidRPr="00F27194" w:rsidRDefault="00DB5D17" w:rsidP="006F12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590,8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AA6361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27194" w:rsidRPr="004F5F3E" w:rsidRDefault="00DB5D17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992" w:type="dxa"/>
            <w:vAlign w:val="center"/>
          </w:tcPr>
          <w:p w:rsidR="00F27194" w:rsidRPr="004F5F3E" w:rsidRDefault="00DB5D17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2" w:type="dxa"/>
          </w:tcPr>
          <w:p w:rsidR="00F27194" w:rsidRPr="004F5F3E" w:rsidRDefault="00DB5D17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27194" w:rsidRPr="004F5F3E" w:rsidRDefault="00DB5D17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F27194" w:rsidRPr="004F5F3E" w:rsidRDefault="00DB5D17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992" w:type="dxa"/>
          </w:tcPr>
          <w:p w:rsidR="00404C32" w:rsidRDefault="00404C32" w:rsidP="006F12E4">
            <w:pPr>
              <w:jc w:val="center"/>
              <w:rPr>
                <w:sz w:val="20"/>
                <w:szCs w:val="20"/>
              </w:rPr>
            </w:pPr>
          </w:p>
          <w:p w:rsidR="00F27194" w:rsidRDefault="00DB5D17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  <w:p w:rsidR="00F27194" w:rsidRPr="00ED3F32" w:rsidRDefault="00F27194" w:rsidP="003708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7" w:type="dxa"/>
            <w:vAlign w:val="center"/>
          </w:tcPr>
          <w:p w:rsidR="00F27194" w:rsidRPr="00C86398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AA6361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27194" w:rsidRDefault="00F2719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F27194" w:rsidRDefault="00F2719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F27194" w:rsidRDefault="00F2719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F27194" w:rsidRPr="004F5F3E" w:rsidRDefault="00F2719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rPr>
          <w:trHeight w:val="555"/>
        </w:trPr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575BB1" w:rsidRDefault="0099743A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3628,00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27194" w:rsidRDefault="00F27194" w:rsidP="006F12E4">
            <w:pPr>
              <w:rPr>
                <w:bCs/>
                <w:color w:val="000000"/>
                <w:sz w:val="20"/>
                <w:szCs w:val="20"/>
              </w:rPr>
            </w:pPr>
          </w:p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rPr>
          <w:trHeight w:val="660"/>
        </w:trPr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27194" w:rsidRPr="00575BB1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27194" w:rsidRPr="004B233A" w:rsidRDefault="00E9213B" w:rsidP="007F4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F27194" w:rsidRPr="004B233A" w:rsidRDefault="00E9213B" w:rsidP="006F12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F27194" w:rsidRPr="004B233A" w:rsidRDefault="00CB6C3E" w:rsidP="003708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575BB1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rPr>
          <w:trHeight w:val="627"/>
        </w:trPr>
        <w:tc>
          <w:tcPr>
            <w:tcW w:w="817" w:type="dxa"/>
            <w:vAlign w:val="center"/>
          </w:tcPr>
          <w:p w:rsidR="00F27194" w:rsidRPr="00F33BA9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AA6361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AA6361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97" w:type="dxa"/>
            <w:vAlign w:val="center"/>
          </w:tcPr>
          <w:p w:rsidR="00F27194" w:rsidRPr="004F5F3E" w:rsidRDefault="004F1EE6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Из-за некорректного заполнения организацией расчетных таблиц произвести анализ не представляется возможным</w:t>
            </w: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F33BA9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F33BA9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F27194" w:rsidRPr="004F5F3E" w:rsidTr="0095639D">
        <w:trPr>
          <w:trHeight w:val="331"/>
        </w:trPr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F27194" w:rsidRPr="006D5F07" w:rsidRDefault="00F27194" w:rsidP="006F12E4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 w:rsidR="003118A3">
              <w:rPr>
                <w:color w:val="000000"/>
                <w:sz w:val="20"/>
                <w:szCs w:val="20"/>
              </w:rPr>
              <w:t xml:space="preserve">и фактические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F27194" w:rsidRPr="006D5F07" w:rsidRDefault="00F27194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Merge w:val="restart"/>
            <w:vAlign w:val="center"/>
          </w:tcPr>
          <w:p w:rsidR="00F27194" w:rsidRPr="004F5F3E" w:rsidRDefault="003118A3" w:rsidP="001033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значения у</w:t>
            </w:r>
            <w:r w:rsidR="00F27194" w:rsidRPr="00B56F13">
              <w:rPr>
                <w:sz w:val="20"/>
                <w:szCs w:val="20"/>
              </w:rPr>
              <w:t>тверждены распоряжением министерства</w:t>
            </w:r>
            <w:r w:rsidR="00EE2009">
              <w:rPr>
                <w:sz w:val="20"/>
                <w:szCs w:val="20"/>
              </w:rPr>
              <w:t xml:space="preserve"> строительства и</w:t>
            </w:r>
            <w:r w:rsidR="00F27194" w:rsidRPr="00B56F13">
              <w:rPr>
                <w:sz w:val="20"/>
                <w:szCs w:val="20"/>
              </w:rPr>
              <w:t xml:space="preserve"> жилищно-коммунального хозяйства Астраханской </w:t>
            </w:r>
            <w:r w:rsidR="00F27194" w:rsidRPr="00103310">
              <w:rPr>
                <w:sz w:val="20"/>
                <w:szCs w:val="20"/>
              </w:rPr>
              <w:t xml:space="preserve">области № </w:t>
            </w:r>
            <w:r w:rsidR="00103310" w:rsidRPr="00103310">
              <w:rPr>
                <w:sz w:val="20"/>
                <w:szCs w:val="20"/>
              </w:rPr>
              <w:t>575</w:t>
            </w:r>
            <w:r w:rsidR="00EB55C6" w:rsidRPr="00103310">
              <w:rPr>
                <w:sz w:val="20"/>
                <w:szCs w:val="20"/>
              </w:rPr>
              <w:t xml:space="preserve"> от </w:t>
            </w:r>
            <w:r w:rsidR="00103310" w:rsidRPr="00103310">
              <w:rPr>
                <w:sz w:val="20"/>
                <w:szCs w:val="20"/>
              </w:rPr>
              <w:t>21.11</w:t>
            </w:r>
            <w:r w:rsidR="00F27194" w:rsidRPr="00103310">
              <w:rPr>
                <w:sz w:val="20"/>
                <w:szCs w:val="20"/>
              </w:rPr>
              <w:t>.201</w:t>
            </w:r>
            <w:r w:rsidR="00370836" w:rsidRPr="00103310">
              <w:rPr>
                <w:sz w:val="20"/>
                <w:szCs w:val="20"/>
              </w:rPr>
              <w:t>7</w:t>
            </w:r>
          </w:p>
        </w:tc>
      </w:tr>
      <w:tr w:rsidR="00F27194" w:rsidRPr="004F5F3E" w:rsidTr="0095639D">
        <w:trPr>
          <w:trHeight w:val="331"/>
        </w:trPr>
        <w:tc>
          <w:tcPr>
            <w:tcW w:w="817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3212" w:type="dxa"/>
            <w:vAlign w:val="center"/>
          </w:tcPr>
          <w:p w:rsidR="00F27194" w:rsidRPr="009A6B3C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00564A">
              <w:rPr>
                <w:color w:val="000000"/>
                <w:spacing w:val="-12"/>
                <w:sz w:val="20"/>
                <w:szCs w:val="20"/>
              </w:rPr>
              <w:t>Показатели надежности и бесперебойности водоснабжения</w:t>
            </w:r>
            <w:r>
              <w:rPr>
                <w:color w:val="000000"/>
                <w:spacing w:val="-12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F27194" w:rsidRPr="006D5F07" w:rsidRDefault="00F27194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97" w:type="dxa"/>
            <w:vMerge/>
            <w:vAlign w:val="center"/>
          </w:tcPr>
          <w:p w:rsidR="00F27194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F27194" w:rsidRPr="004F5F3E" w:rsidTr="0095639D">
        <w:trPr>
          <w:trHeight w:val="331"/>
        </w:trPr>
        <w:tc>
          <w:tcPr>
            <w:tcW w:w="817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10.1.1.</w:t>
            </w:r>
          </w:p>
        </w:tc>
        <w:tc>
          <w:tcPr>
            <w:tcW w:w="3212" w:type="dxa"/>
            <w:vAlign w:val="center"/>
          </w:tcPr>
          <w:p w:rsidR="00F27194" w:rsidRPr="009A6B3C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632323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1041" w:type="dxa"/>
            <w:vAlign w:val="center"/>
          </w:tcPr>
          <w:p w:rsidR="00F27194" w:rsidRPr="006D5F07" w:rsidRDefault="00F27194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8533B">
              <w:rPr>
                <w:sz w:val="20"/>
                <w:szCs w:val="20"/>
              </w:rPr>
              <w:t>Ед. изм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F27194" w:rsidRDefault="001C23D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Default="001C23D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Default="001C23D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Merge/>
            <w:vAlign w:val="center"/>
          </w:tcPr>
          <w:p w:rsidR="00F27194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F27194" w:rsidRPr="004F5F3E" w:rsidTr="0095639D">
        <w:trPr>
          <w:trHeight w:val="331"/>
        </w:trPr>
        <w:tc>
          <w:tcPr>
            <w:tcW w:w="817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3212" w:type="dxa"/>
            <w:vAlign w:val="center"/>
          </w:tcPr>
          <w:p w:rsidR="00F27194" w:rsidRPr="009A6B3C" w:rsidRDefault="00F27194" w:rsidP="006F12E4">
            <w:pPr>
              <w:pStyle w:val="ad"/>
              <w:rPr>
                <w:color w:val="000000"/>
                <w:sz w:val="20"/>
                <w:szCs w:val="20"/>
              </w:rPr>
            </w:pPr>
            <w:r w:rsidRPr="0000564A">
              <w:rPr>
                <w:color w:val="000000"/>
                <w:spacing w:val="-12"/>
                <w:sz w:val="20"/>
                <w:szCs w:val="20"/>
              </w:rPr>
              <w:t>Показатели эффективности использования ресурсов</w:t>
            </w:r>
            <w:r>
              <w:rPr>
                <w:color w:val="000000"/>
                <w:spacing w:val="-12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F27194" w:rsidRPr="006D5F07" w:rsidRDefault="00F27194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97" w:type="dxa"/>
            <w:vMerge/>
            <w:vAlign w:val="center"/>
          </w:tcPr>
          <w:p w:rsidR="00F27194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F27194" w:rsidRPr="004F5F3E" w:rsidTr="0095639D">
        <w:trPr>
          <w:trHeight w:val="331"/>
        </w:trPr>
        <w:tc>
          <w:tcPr>
            <w:tcW w:w="817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10.2.1.</w:t>
            </w:r>
          </w:p>
        </w:tc>
        <w:tc>
          <w:tcPr>
            <w:tcW w:w="3212" w:type="dxa"/>
            <w:vAlign w:val="center"/>
          </w:tcPr>
          <w:p w:rsidR="00F27194" w:rsidRPr="009A6B3C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253745">
              <w:rPr>
                <w:sz w:val="20"/>
                <w:szCs w:val="20"/>
              </w:rPr>
              <w:t xml:space="preserve">доля потерь воды в </w:t>
            </w:r>
            <w:r w:rsidRPr="00253745">
              <w:rPr>
                <w:sz w:val="20"/>
                <w:szCs w:val="20"/>
              </w:rPr>
              <w:lastRenderedPageBreak/>
              <w:t>централизованных системах водоснабжения при транспортировке в общем объеме воды, поданной в водопроводную сеть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F27194" w:rsidRPr="006D5F07" w:rsidRDefault="00F27194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%</w:t>
            </w:r>
          </w:p>
        </w:tc>
        <w:tc>
          <w:tcPr>
            <w:tcW w:w="992" w:type="dxa"/>
            <w:vAlign w:val="center"/>
          </w:tcPr>
          <w:p w:rsidR="00F27194" w:rsidRPr="008C293F" w:rsidRDefault="00E9213B" w:rsidP="007F4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F27194" w:rsidRPr="008C293F" w:rsidRDefault="00E9213B" w:rsidP="003708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F27194" w:rsidRPr="008C293F" w:rsidRDefault="00E9213B" w:rsidP="003708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997" w:type="dxa"/>
            <w:vMerge/>
            <w:vAlign w:val="center"/>
          </w:tcPr>
          <w:p w:rsidR="00F27194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FE5C59" w:rsidRDefault="00FE5C59" w:rsidP="00512C3F">
      <w:pPr>
        <w:ind w:firstLine="709"/>
        <w:jc w:val="both"/>
        <w:rPr>
          <w:sz w:val="27"/>
          <w:szCs w:val="27"/>
        </w:rPr>
      </w:pPr>
    </w:p>
    <w:p w:rsidR="002F4EAE" w:rsidRPr="00370836" w:rsidRDefault="002F4EAE" w:rsidP="00512C3F">
      <w:pPr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Размер тарифа на </w:t>
      </w:r>
      <w:r w:rsidR="00211A34" w:rsidRPr="00370836">
        <w:rPr>
          <w:sz w:val="27"/>
          <w:szCs w:val="27"/>
        </w:rPr>
        <w:t>техническую</w:t>
      </w:r>
      <w:r w:rsidRPr="00370836">
        <w:rPr>
          <w:sz w:val="27"/>
          <w:szCs w:val="27"/>
        </w:rPr>
        <w:t xml:space="preserve"> воду обеспечивает поступление денежных средств в объёмах, необходимых для выполнения производственной программы.</w:t>
      </w:r>
    </w:p>
    <w:p w:rsidR="00C964BA" w:rsidRPr="00370836" w:rsidRDefault="00D71A6F" w:rsidP="00E9213B">
      <w:pPr>
        <w:ind w:firstLine="709"/>
        <w:jc w:val="both"/>
        <w:rPr>
          <w:sz w:val="27"/>
          <w:szCs w:val="27"/>
        </w:rPr>
      </w:pPr>
      <w:r w:rsidRPr="00370836">
        <w:rPr>
          <w:sz w:val="27"/>
          <w:szCs w:val="27"/>
        </w:rPr>
        <w:t xml:space="preserve">Основные показатели расчета тарифа на водоотведение </w:t>
      </w:r>
      <w:r w:rsidR="00370836" w:rsidRPr="00370836">
        <w:rPr>
          <w:bCs/>
          <w:sz w:val="27"/>
          <w:szCs w:val="27"/>
        </w:rPr>
        <w:t xml:space="preserve">МУП «Лиманское», ЖКХ МО «Рабочий поселок Лиман» </w:t>
      </w:r>
      <w:r w:rsidRPr="00370836">
        <w:rPr>
          <w:sz w:val="27"/>
          <w:szCs w:val="27"/>
        </w:rPr>
        <w:t>на долгосрочный период регулирования сведены в таблицу № 2.</w:t>
      </w:r>
    </w:p>
    <w:p w:rsidR="00C964BA" w:rsidRPr="00370836" w:rsidRDefault="00D71A6F" w:rsidP="00C964BA">
      <w:pPr>
        <w:ind w:firstLine="709"/>
        <w:jc w:val="right"/>
        <w:rPr>
          <w:sz w:val="27"/>
          <w:szCs w:val="27"/>
        </w:rPr>
      </w:pPr>
      <w:r w:rsidRPr="00370836">
        <w:rPr>
          <w:sz w:val="27"/>
          <w:szCs w:val="27"/>
        </w:rPr>
        <w:t>Таблица № 2</w:t>
      </w:r>
    </w:p>
    <w:p w:rsidR="009B7AFB" w:rsidRPr="009B7AFB" w:rsidRDefault="009B7AFB" w:rsidP="00C964BA">
      <w:pPr>
        <w:ind w:firstLine="709"/>
        <w:jc w:val="right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1134"/>
        <w:gridCol w:w="992"/>
        <w:gridCol w:w="992"/>
        <w:gridCol w:w="1843"/>
      </w:tblGrid>
      <w:tr w:rsidR="006F12E4" w:rsidRPr="004F5F3E" w:rsidTr="008317AE">
        <w:trPr>
          <w:tblHeader/>
        </w:trPr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3118" w:type="dxa"/>
            <w:gridSpan w:val="3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F12E4" w:rsidRPr="004F5F3E" w:rsidTr="006F12E4">
        <w:tc>
          <w:tcPr>
            <w:tcW w:w="5070" w:type="dxa"/>
            <w:gridSpan w:val="3"/>
            <w:vAlign w:val="center"/>
          </w:tcPr>
          <w:p w:rsidR="006F12E4" w:rsidRPr="004F5F3E" w:rsidRDefault="006F12E4" w:rsidP="006F12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370836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370836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3708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70836"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6F12E4" w:rsidRPr="004F5F3E" w:rsidTr="008317AE">
        <w:trPr>
          <w:trHeight w:val="1187"/>
        </w:trPr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6F12E4">
              <w:rPr>
                <w:sz w:val="20"/>
                <w:szCs w:val="20"/>
              </w:rPr>
              <w:t>МУП МО «</w:t>
            </w:r>
            <w:proofErr w:type="spellStart"/>
            <w:r w:rsidRPr="006F12E4">
              <w:rPr>
                <w:sz w:val="20"/>
                <w:szCs w:val="20"/>
              </w:rPr>
              <w:t>Черноярский</w:t>
            </w:r>
            <w:proofErr w:type="spellEnd"/>
            <w:r w:rsidRPr="006F12E4">
              <w:rPr>
                <w:sz w:val="20"/>
                <w:szCs w:val="20"/>
              </w:rPr>
              <w:t xml:space="preserve"> район» «ЧКХ»</w:t>
            </w:r>
            <w:r w:rsidRPr="00355330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3D7278" w:rsidRDefault="00404C32" w:rsidP="0099743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3334,77</w:t>
            </w:r>
          </w:p>
        </w:tc>
        <w:tc>
          <w:tcPr>
            <w:tcW w:w="992" w:type="dxa"/>
            <w:vAlign w:val="center"/>
          </w:tcPr>
          <w:p w:rsidR="006F12E4" w:rsidRPr="003D7278" w:rsidRDefault="00404C32" w:rsidP="00CA213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  <w:r w:rsidR="00CA213F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8,05</w:t>
            </w:r>
          </w:p>
        </w:tc>
        <w:tc>
          <w:tcPr>
            <w:tcW w:w="992" w:type="dxa"/>
            <w:vAlign w:val="center"/>
          </w:tcPr>
          <w:p w:rsidR="006F12E4" w:rsidRPr="003D7278" w:rsidRDefault="00404C32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3545,38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3D7278" w:rsidRDefault="00E9213B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97,49</w:t>
            </w:r>
          </w:p>
        </w:tc>
        <w:tc>
          <w:tcPr>
            <w:tcW w:w="992" w:type="dxa"/>
            <w:vAlign w:val="center"/>
          </w:tcPr>
          <w:p w:rsidR="006F12E4" w:rsidRPr="003D7278" w:rsidRDefault="00E9213B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97,49</w:t>
            </w:r>
          </w:p>
        </w:tc>
        <w:tc>
          <w:tcPr>
            <w:tcW w:w="992" w:type="dxa"/>
            <w:vAlign w:val="center"/>
          </w:tcPr>
          <w:p w:rsidR="006F12E4" w:rsidRPr="003D7278" w:rsidRDefault="00E9213B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97,49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3D7278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3D7278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3D7278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160123" w:rsidRDefault="00E9213B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160123" w:rsidRDefault="00E9213B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160123" w:rsidRDefault="00E9213B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ED3F32" w:rsidRDefault="006F12E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6F12E4" w:rsidRPr="00ED3F32" w:rsidRDefault="006F12E4" w:rsidP="006F12E4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ED3F32" w:rsidRDefault="00404C32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3432,26</w:t>
            </w:r>
          </w:p>
        </w:tc>
        <w:tc>
          <w:tcPr>
            <w:tcW w:w="992" w:type="dxa"/>
            <w:vAlign w:val="center"/>
          </w:tcPr>
          <w:p w:rsidR="006F12E4" w:rsidRPr="00ED3F32" w:rsidRDefault="00404C32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3535,54</w:t>
            </w:r>
          </w:p>
        </w:tc>
        <w:tc>
          <w:tcPr>
            <w:tcW w:w="992" w:type="dxa"/>
            <w:vAlign w:val="center"/>
          </w:tcPr>
          <w:p w:rsidR="006F12E4" w:rsidRPr="00ED3F32" w:rsidRDefault="00404C32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3642,87</w:t>
            </w:r>
          </w:p>
        </w:tc>
        <w:tc>
          <w:tcPr>
            <w:tcW w:w="1843" w:type="dxa"/>
            <w:vAlign w:val="center"/>
          </w:tcPr>
          <w:p w:rsidR="006F12E4" w:rsidRPr="00C86398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rPr>
          <w:trHeight w:val="331"/>
        </w:trPr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31DF">
              <w:rPr>
                <w:bCs/>
                <w:color w:val="000000"/>
                <w:sz w:val="20"/>
                <w:szCs w:val="20"/>
              </w:rPr>
              <w:t>Объем сточных вод, принятых у абонентов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6F12E4" w:rsidRPr="004F5F3E" w:rsidRDefault="00E9213B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992" w:type="dxa"/>
            <w:vAlign w:val="center"/>
          </w:tcPr>
          <w:p w:rsidR="006F12E4" w:rsidRPr="004F5F3E" w:rsidRDefault="00E9213B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6F12E4" w:rsidRPr="004F5F3E" w:rsidRDefault="00E9213B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6F12E4" w:rsidRPr="004F5F3E" w:rsidRDefault="00E9213B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6F12E4" w:rsidRPr="004F5F3E" w:rsidRDefault="00E9213B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992" w:type="dxa"/>
            <w:vAlign w:val="center"/>
          </w:tcPr>
          <w:p w:rsidR="006F12E4" w:rsidRPr="004F5F3E" w:rsidRDefault="00E9213B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</w:t>
            </w:r>
            <w:r w:rsidR="00404C3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575BB1" w:rsidRDefault="00E9213B" w:rsidP="009974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2820</w:t>
            </w:r>
            <w:r w:rsidR="0099743A">
              <w:rPr>
                <w:color w:val="000000"/>
                <w:sz w:val="20"/>
                <w:szCs w:val="20"/>
              </w:rPr>
              <w:t>,52</w:t>
            </w:r>
          </w:p>
        </w:tc>
        <w:tc>
          <w:tcPr>
            <w:tcW w:w="992" w:type="dxa"/>
            <w:vAlign w:val="center"/>
          </w:tcPr>
          <w:p w:rsidR="006F12E4" w:rsidRPr="00575BB1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575BB1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6F12E4" w:rsidRPr="00575BB1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F12E4" w:rsidRPr="00575BB1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F12E4" w:rsidRPr="00575BB1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426D" w:rsidRPr="004F5F3E" w:rsidTr="008317AE">
        <w:trPr>
          <w:trHeight w:val="405"/>
        </w:trPr>
        <w:tc>
          <w:tcPr>
            <w:tcW w:w="817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E426D" w:rsidRPr="00575BB1" w:rsidRDefault="00E9213B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1,32</w:t>
            </w:r>
          </w:p>
        </w:tc>
        <w:tc>
          <w:tcPr>
            <w:tcW w:w="992" w:type="dxa"/>
            <w:vAlign w:val="center"/>
          </w:tcPr>
          <w:p w:rsidR="009E426D" w:rsidRPr="00575BB1" w:rsidRDefault="00E9213B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1,28</w:t>
            </w:r>
          </w:p>
        </w:tc>
        <w:tc>
          <w:tcPr>
            <w:tcW w:w="992" w:type="dxa"/>
            <w:vAlign w:val="center"/>
          </w:tcPr>
          <w:p w:rsidR="009E426D" w:rsidRPr="00575BB1" w:rsidRDefault="00E9213B" w:rsidP="00404C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  <w:r w:rsidR="00404C3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43" w:type="dxa"/>
            <w:vAlign w:val="center"/>
          </w:tcPr>
          <w:p w:rsidR="009E426D" w:rsidRPr="004F5F3E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426D" w:rsidRPr="004F5F3E" w:rsidTr="008317AE">
        <w:trPr>
          <w:trHeight w:val="525"/>
        </w:trPr>
        <w:tc>
          <w:tcPr>
            <w:tcW w:w="817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E426D" w:rsidRPr="00575BB1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575BB1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575BB1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9E426D" w:rsidRPr="004F5F3E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9E426D" w:rsidRPr="004F5F3E" w:rsidTr="008317AE">
        <w:tc>
          <w:tcPr>
            <w:tcW w:w="817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9E426D" w:rsidRPr="004F5F3E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9E426D" w:rsidRPr="004F5F3E" w:rsidTr="008317AE">
        <w:tc>
          <w:tcPr>
            <w:tcW w:w="817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9E426D" w:rsidRPr="004F5F3E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Из-за некорректного заполнения организацией расчетных таблиц произвести анализ не представляется возможным</w:t>
            </w:r>
          </w:p>
        </w:tc>
      </w:tr>
      <w:tr w:rsidR="009E426D" w:rsidRPr="004F5F3E" w:rsidTr="008317AE">
        <w:tc>
          <w:tcPr>
            <w:tcW w:w="817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9E426D" w:rsidRPr="004F5F3E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9E426D" w:rsidRPr="004F5F3E" w:rsidTr="008317AE">
        <w:trPr>
          <w:trHeight w:val="1914"/>
        </w:trPr>
        <w:tc>
          <w:tcPr>
            <w:tcW w:w="817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9E426D" w:rsidRPr="004F5F3E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E0E96" w:rsidRPr="004F5F3E" w:rsidTr="008317AE">
        <w:tc>
          <w:tcPr>
            <w:tcW w:w="817" w:type="dxa"/>
            <w:vAlign w:val="center"/>
          </w:tcPr>
          <w:p w:rsidR="00EE0E96" w:rsidRPr="004F5F3E" w:rsidRDefault="00EE0E96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5F07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EE0E96" w:rsidRPr="004F5F3E" w:rsidRDefault="00EE0E96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>
              <w:rPr>
                <w:color w:val="000000"/>
                <w:sz w:val="20"/>
                <w:szCs w:val="20"/>
              </w:rPr>
              <w:t xml:space="preserve"> и фактические</w:t>
            </w:r>
            <w:r w:rsidRPr="009A6B3C">
              <w:rPr>
                <w:color w:val="000000"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EE0E96" w:rsidRPr="004F5F3E" w:rsidRDefault="00EE0E96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E0E96" w:rsidRPr="004F5F3E" w:rsidRDefault="00EE0E96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E0E96" w:rsidRPr="004F5F3E" w:rsidRDefault="00EE0E96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E0E96" w:rsidRPr="004F5F3E" w:rsidRDefault="00EE0E96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843" w:type="dxa"/>
            <w:vMerge w:val="restart"/>
            <w:vAlign w:val="center"/>
          </w:tcPr>
          <w:p w:rsidR="00EE0E96" w:rsidRPr="004F5F3E" w:rsidRDefault="00EE0E96" w:rsidP="001033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значения у</w:t>
            </w:r>
            <w:r w:rsidRPr="00B56F13">
              <w:rPr>
                <w:sz w:val="20"/>
                <w:szCs w:val="20"/>
              </w:rPr>
              <w:t xml:space="preserve">тверждены распоряжением министерства </w:t>
            </w:r>
            <w:r w:rsidR="00EE2009">
              <w:rPr>
                <w:sz w:val="20"/>
                <w:szCs w:val="20"/>
              </w:rPr>
              <w:t xml:space="preserve">строительства и </w:t>
            </w:r>
            <w:r w:rsidRPr="00B56F13">
              <w:rPr>
                <w:sz w:val="20"/>
                <w:szCs w:val="20"/>
              </w:rPr>
              <w:t xml:space="preserve">жилищно-коммунального хозяйства Астраханской </w:t>
            </w:r>
            <w:r w:rsidRPr="00103310">
              <w:rPr>
                <w:sz w:val="20"/>
                <w:szCs w:val="20"/>
              </w:rPr>
              <w:t xml:space="preserve">области № </w:t>
            </w:r>
            <w:r w:rsidR="00103310" w:rsidRPr="00103310">
              <w:rPr>
                <w:sz w:val="20"/>
                <w:szCs w:val="20"/>
              </w:rPr>
              <w:t>575</w:t>
            </w:r>
            <w:r w:rsidR="00EB55C6" w:rsidRPr="00103310">
              <w:rPr>
                <w:sz w:val="20"/>
                <w:szCs w:val="20"/>
              </w:rPr>
              <w:t xml:space="preserve"> от </w:t>
            </w:r>
            <w:r w:rsidR="00103310" w:rsidRPr="00103310">
              <w:rPr>
                <w:sz w:val="20"/>
                <w:szCs w:val="20"/>
              </w:rPr>
              <w:t>21.11.</w:t>
            </w:r>
            <w:r w:rsidR="00370836" w:rsidRPr="00103310">
              <w:rPr>
                <w:sz w:val="20"/>
                <w:szCs w:val="20"/>
              </w:rPr>
              <w:t>2017</w:t>
            </w: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6D5F07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3212" w:type="dxa"/>
            <w:vAlign w:val="center"/>
          </w:tcPr>
          <w:p w:rsidR="00EE0E96" w:rsidRPr="006D5F07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1041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843" w:type="dxa"/>
            <w:vMerge/>
            <w:vAlign w:val="center"/>
          </w:tcPr>
          <w:p w:rsidR="00EE0E96" w:rsidRPr="00EC5E70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041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E0E96" w:rsidRPr="006D5F07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041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E0E96" w:rsidRPr="006D5F07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10.1.3</w:t>
            </w:r>
          </w:p>
        </w:tc>
        <w:tc>
          <w:tcPr>
            <w:tcW w:w="3212" w:type="dxa"/>
            <w:vAlign w:val="center"/>
          </w:tcPr>
          <w:p w:rsidR="00EE0E96" w:rsidRPr="00101528" w:rsidRDefault="00EE0E96" w:rsidP="006F12E4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 xml:space="preserve">доля проб сточных вод, не соответствующих установленным </w:t>
            </w:r>
            <w:r w:rsidRPr="00101528">
              <w:rPr>
                <w:sz w:val="20"/>
                <w:szCs w:val="20"/>
              </w:rPr>
              <w:lastRenderedPageBreak/>
              <w:t>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041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E0E96" w:rsidRPr="006D5F07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3212" w:type="dxa"/>
            <w:vAlign w:val="center"/>
          </w:tcPr>
          <w:p w:rsidR="00EE0E96" w:rsidRPr="00101528" w:rsidRDefault="00EE0E96" w:rsidP="006F12E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041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E0E96" w:rsidRPr="006D5F07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EE0E96" w:rsidRPr="00101528" w:rsidRDefault="00EE0E96" w:rsidP="006F12E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041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5FC5">
              <w:rPr>
                <w:rFonts w:eastAsia="Calibri"/>
                <w:sz w:val="20"/>
                <w:szCs w:val="20"/>
                <w:lang w:eastAsia="en-US"/>
              </w:rPr>
              <w:t>(ед./ км)</w:t>
            </w:r>
          </w:p>
        </w:tc>
        <w:tc>
          <w:tcPr>
            <w:tcW w:w="1134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E0E96" w:rsidRPr="006D5F07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3212" w:type="dxa"/>
            <w:vAlign w:val="center"/>
          </w:tcPr>
          <w:p w:rsidR="00EE0E96" w:rsidRPr="00101528" w:rsidRDefault="00EE0E96" w:rsidP="006F12E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041" w:type="dxa"/>
            <w:vAlign w:val="center"/>
          </w:tcPr>
          <w:p w:rsidR="00EE0E96" w:rsidRPr="00945FC5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E0E96" w:rsidRPr="006D5F07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EE0E96" w:rsidRPr="00101528" w:rsidRDefault="00EE0E96" w:rsidP="006F12E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041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 xml:space="preserve">(кВт*ч/ </w:t>
            </w:r>
            <w:proofErr w:type="spellStart"/>
            <w:r w:rsidRPr="00101528">
              <w:rPr>
                <w:sz w:val="20"/>
                <w:szCs w:val="20"/>
              </w:rPr>
              <w:t>куб.м</w:t>
            </w:r>
            <w:proofErr w:type="spellEnd"/>
            <w:r w:rsidRPr="00101528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E0E96" w:rsidRPr="006D5F07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EE0E96" w:rsidRPr="00101528" w:rsidRDefault="00EE0E96" w:rsidP="006F12E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041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 xml:space="preserve">(кВт*ч/ </w:t>
            </w:r>
            <w:proofErr w:type="spellStart"/>
            <w:r w:rsidRPr="00101528">
              <w:rPr>
                <w:sz w:val="20"/>
                <w:szCs w:val="20"/>
              </w:rPr>
              <w:t>куб.м</w:t>
            </w:r>
            <w:proofErr w:type="spellEnd"/>
            <w:r w:rsidRPr="00101528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EE0E96" w:rsidRPr="008317AE" w:rsidRDefault="00E9213B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1,32</w:t>
            </w:r>
          </w:p>
        </w:tc>
        <w:tc>
          <w:tcPr>
            <w:tcW w:w="992" w:type="dxa"/>
            <w:vAlign w:val="center"/>
          </w:tcPr>
          <w:p w:rsidR="00EE0E96" w:rsidRPr="008317AE" w:rsidRDefault="00E9213B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1,28</w:t>
            </w:r>
          </w:p>
        </w:tc>
        <w:tc>
          <w:tcPr>
            <w:tcW w:w="992" w:type="dxa"/>
            <w:vAlign w:val="center"/>
          </w:tcPr>
          <w:p w:rsidR="00EE0E96" w:rsidRPr="008317AE" w:rsidRDefault="00E9213B" w:rsidP="00404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  <w:r w:rsidR="00404C32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vMerge/>
            <w:vAlign w:val="center"/>
          </w:tcPr>
          <w:p w:rsidR="00EE0E96" w:rsidRPr="006D5F07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27249B" w:rsidRDefault="0027249B" w:rsidP="00512C3F">
      <w:pPr>
        <w:ind w:firstLine="709"/>
        <w:jc w:val="both"/>
        <w:rPr>
          <w:sz w:val="27"/>
          <w:szCs w:val="27"/>
        </w:rPr>
      </w:pPr>
    </w:p>
    <w:p w:rsidR="00FD5F38" w:rsidRPr="00056C83" w:rsidRDefault="00FD5F38" w:rsidP="009B7AFB">
      <w:pPr>
        <w:ind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t>Размер тарифа на водоотведение обеспечивает поступление денежных средств в объёмах, необходимых для выполнения производственной программы.</w:t>
      </w:r>
    </w:p>
    <w:p w:rsidR="009B7AFB" w:rsidRPr="00056C83" w:rsidRDefault="009B7AFB" w:rsidP="00E9213B">
      <w:pPr>
        <w:spacing w:line="120" w:lineRule="auto"/>
        <w:ind w:firstLine="709"/>
        <w:jc w:val="both"/>
        <w:rPr>
          <w:sz w:val="27"/>
          <w:szCs w:val="27"/>
        </w:rPr>
      </w:pPr>
    </w:p>
    <w:p w:rsidR="002F4EAE" w:rsidRPr="00056C83" w:rsidRDefault="002F4EAE" w:rsidP="00512C3F">
      <w:pPr>
        <w:ind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056C83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="00CB6C3E" w:rsidRPr="00056C83">
        <w:rPr>
          <w:sz w:val="27"/>
          <w:szCs w:val="27"/>
        </w:rPr>
        <w:t>Иванова И</w:t>
      </w:r>
      <w:r w:rsidRPr="00056C83">
        <w:rPr>
          <w:sz w:val="27"/>
          <w:szCs w:val="27"/>
        </w:rPr>
        <w:t>.</w:t>
      </w:r>
      <w:r w:rsidR="00CB6C3E" w:rsidRPr="00056C83">
        <w:rPr>
          <w:sz w:val="27"/>
          <w:szCs w:val="27"/>
        </w:rPr>
        <w:t>А</w:t>
      </w:r>
      <w:r w:rsidRPr="00056C83">
        <w:rPr>
          <w:sz w:val="27"/>
          <w:szCs w:val="27"/>
        </w:rPr>
        <w:t>. не поступало.</w:t>
      </w:r>
    </w:p>
    <w:p w:rsidR="002F4EAE" w:rsidRPr="00056C83" w:rsidRDefault="002F4EAE" w:rsidP="00E9213B">
      <w:pPr>
        <w:spacing w:line="120" w:lineRule="auto"/>
        <w:jc w:val="both"/>
        <w:rPr>
          <w:b/>
          <w:sz w:val="27"/>
          <w:szCs w:val="27"/>
        </w:rPr>
      </w:pPr>
    </w:p>
    <w:p w:rsidR="001A224B" w:rsidRPr="00056C83" w:rsidRDefault="005E0100" w:rsidP="001A224B">
      <w:pPr>
        <w:jc w:val="both"/>
        <w:rPr>
          <w:b/>
          <w:sz w:val="27"/>
          <w:szCs w:val="27"/>
        </w:rPr>
      </w:pPr>
      <w:r w:rsidRPr="00056C83">
        <w:rPr>
          <w:b/>
          <w:sz w:val="27"/>
          <w:szCs w:val="27"/>
        </w:rPr>
        <w:t>ВЫСТУПИЛИ</w:t>
      </w:r>
      <w:r w:rsidR="001A224B" w:rsidRPr="00056C83">
        <w:rPr>
          <w:b/>
          <w:sz w:val="27"/>
          <w:szCs w:val="27"/>
        </w:rPr>
        <w:t>:</w:t>
      </w:r>
    </w:p>
    <w:p w:rsidR="002A42FC" w:rsidRPr="00056C83" w:rsidRDefault="00995C60" w:rsidP="002003F1">
      <w:pPr>
        <w:ind w:firstLine="709"/>
        <w:jc w:val="both"/>
        <w:rPr>
          <w:sz w:val="27"/>
          <w:szCs w:val="27"/>
        </w:rPr>
      </w:pPr>
      <w:r w:rsidRPr="00056C83">
        <w:rPr>
          <w:b/>
          <w:sz w:val="27"/>
          <w:szCs w:val="27"/>
        </w:rPr>
        <w:t>О.Г.</w:t>
      </w:r>
      <w:r w:rsidR="00AF7709" w:rsidRPr="00056C83">
        <w:rPr>
          <w:b/>
          <w:sz w:val="27"/>
          <w:szCs w:val="27"/>
        </w:rPr>
        <w:t xml:space="preserve"> </w:t>
      </w:r>
      <w:r w:rsidRPr="00056C83">
        <w:rPr>
          <w:b/>
          <w:sz w:val="27"/>
          <w:szCs w:val="27"/>
        </w:rPr>
        <w:t>Зверева</w:t>
      </w:r>
      <w:r w:rsidR="006F7CF1" w:rsidRPr="00056C83">
        <w:rPr>
          <w:sz w:val="27"/>
          <w:szCs w:val="27"/>
        </w:rPr>
        <w:t xml:space="preserve"> </w:t>
      </w:r>
      <w:r w:rsidR="002A42FC" w:rsidRPr="00056C83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056C83">
        <w:rPr>
          <w:sz w:val="27"/>
          <w:szCs w:val="27"/>
        </w:rPr>
        <w:t xml:space="preserve"> п</w:t>
      </w:r>
      <w:r w:rsidR="002A42FC" w:rsidRPr="00056C83">
        <w:rPr>
          <w:sz w:val="27"/>
          <w:szCs w:val="27"/>
        </w:rPr>
        <w:t xml:space="preserve">о вопросу </w:t>
      </w:r>
      <w:r w:rsidR="00A405A3" w:rsidRPr="00056C83">
        <w:rPr>
          <w:sz w:val="27"/>
          <w:szCs w:val="27"/>
        </w:rPr>
        <w:t>установления</w:t>
      </w:r>
      <w:r w:rsidR="00370836" w:rsidRPr="00056C83">
        <w:rPr>
          <w:bCs/>
          <w:sz w:val="27"/>
          <w:szCs w:val="27"/>
        </w:rPr>
        <w:t xml:space="preserve"> </w:t>
      </w:r>
      <w:r w:rsidR="00370836" w:rsidRPr="006E5ACD">
        <w:rPr>
          <w:bCs/>
          <w:sz w:val="27"/>
          <w:szCs w:val="27"/>
        </w:rPr>
        <w:t>МУП «Лиманское», ЖКХ МО «Рабочий поселок Лиман»</w:t>
      </w:r>
      <w:r w:rsidR="00370836" w:rsidRPr="00056C83">
        <w:rPr>
          <w:color w:val="000000"/>
          <w:sz w:val="27"/>
          <w:szCs w:val="27"/>
        </w:rPr>
        <w:t xml:space="preserve"> </w:t>
      </w:r>
      <w:proofErr w:type="spellStart"/>
      <w:r w:rsidR="00A405A3" w:rsidRPr="00056C83">
        <w:rPr>
          <w:sz w:val="27"/>
          <w:szCs w:val="27"/>
        </w:rPr>
        <w:t>одноставочн</w:t>
      </w:r>
      <w:r w:rsidR="00466C44" w:rsidRPr="00056C83">
        <w:rPr>
          <w:sz w:val="27"/>
          <w:szCs w:val="27"/>
        </w:rPr>
        <w:t>ых</w:t>
      </w:r>
      <w:proofErr w:type="spellEnd"/>
      <w:r w:rsidR="00832A46" w:rsidRPr="00056C83">
        <w:rPr>
          <w:sz w:val="27"/>
          <w:szCs w:val="27"/>
        </w:rPr>
        <w:t xml:space="preserve"> </w:t>
      </w:r>
      <w:r w:rsidR="00A405A3" w:rsidRPr="00056C83">
        <w:rPr>
          <w:sz w:val="27"/>
          <w:szCs w:val="27"/>
        </w:rPr>
        <w:t>тариф</w:t>
      </w:r>
      <w:r w:rsidR="00466C44" w:rsidRPr="00056C83">
        <w:rPr>
          <w:sz w:val="27"/>
          <w:szCs w:val="27"/>
        </w:rPr>
        <w:t>ов</w:t>
      </w:r>
      <w:r w:rsidR="00790217" w:rsidRPr="00056C83">
        <w:rPr>
          <w:sz w:val="27"/>
          <w:szCs w:val="27"/>
        </w:rPr>
        <w:t xml:space="preserve"> </w:t>
      </w:r>
      <w:r w:rsidR="00D04503" w:rsidRPr="00056C83">
        <w:rPr>
          <w:sz w:val="27"/>
          <w:szCs w:val="27"/>
        </w:rPr>
        <w:t xml:space="preserve">на </w:t>
      </w:r>
      <w:r w:rsidR="00211A34" w:rsidRPr="00056C83">
        <w:rPr>
          <w:sz w:val="27"/>
          <w:szCs w:val="27"/>
        </w:rPr>
        <w:t>техническу</w:t>
      </w:r>
      <w:r w:rsidR="00850660" w:rsidRPr="00056C83">
        <w:rPr>
          <w:sz w:val="27"/>
          <w:szCs w:val="27"/>
        </w:rPr>
        <w:t>ю</w:t>
      </w:r>
      <w:r w:rsidR="00D04503" w:rsidRPr="00056C83">
        <w:rPr>
          <w:sz w:val="27"/>
          <w:szCs w:val="27"/>
        </w:rPr>
        <w:t xml:space="preserve"> воду</w:t>
      </w:r>
      <w:r w:rsidR="00466C44" w:rsidRPr="00056C83">
        <w:rPr>
          <w:sz w:val="27"/>
          <w:szCs w:val="27"/>
        </w:rPr>
        <w:t xml:space="preserve"> и водоотведение</w:t>
      </w:r>
      <w:r w:rsidR="00D15698" w:rsidRPr="00056C83">
        <w:rPr>
          <w:sz w:val="27"/>
          <w:szCs w:val="27"/>
        </w:rPr>
        <w:t xml:space="preserve"> </w:t>
      </w:r>
      <w:r w:rsidR="002A42FC" w:rsidRPr="00056C83">
        <w:rPr>
          <w:sz w:val="27"/>
          <w:szCs w:val="27"/>
        </w:rPr>
        <w:t>в соответствии с расчетами, выполненными экспертной группой.</w:t>
      </w:r>
    </w:p>
    <w:p w:rsidR="0037318A" w:rsidRPr="00056C83" w:rsidRDefault="0037318A" w:rsidP="00E9213B">
      <w:pPr>
        <w:spacing w:line="120" w:lineRule="auto"/>
        <w:jc w:val="both"/>
        <w:rPr>
          <w:sz w:val="27"/>
          <w:szCs w:val="27"/>
        </w:rPr>
      </w:pPr>
    </w:p>
    <w:p w:rsidR="00A35B6B" w:rsidRPr="00056C83" w:rsidRDefault="00B312F5" w:rsidP="00A35B6B">
      <w:pPr>
        <w:jc w:val="both"/>
        <w:rPr>
          <w:sz w:val="27"/>
          <w:szCs w:val="27"/>
        </w:rPr>
      </w:pPr>
      <w:r w:rsidRPr="00056C83">
        <w:rPr>
          <w:sz w:val="27"/>
          <w:szCs w:val="27"/>
        </w:rPr>
        <w:t>Голосовали: «За» - единогласно.</w:t>
      </w:r>
    </w:p>
    <w:p w:rsidR="00E06482" w:rsidRPr="00056C83" w:rsidRDefault="00E06482" w:rsidP="00E9213B">
      <w:pPr>
        <w:spacing w:line="120" w:lineRule="auto"/>
        <w:jc w:val="both"/>
        <w:rPr>
          <w:sz w:val="27"/>
          <w:szCs w:val="27"/>
        </w:rPr>
      </w:pPr>
    </w:p>
    <w:p w:rsidR="00BD5187" w:rsidRPr="00056C83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056C83">
        <w:rPr>
          <w:b/>
          <w:sz w:val="27"/>
          <w:szCs w:val="27"/>
        </w:rPr>
        <w:t>ПОСТАНОВИЛИ</w:t>
      </w:r>
      <w:r w:rsidR="00BD5187" w:rsidRPr="00056C83">
        <w:rPr>
          <w:b/>
          <w:sz w:val="27"/>
          <w:szCs w:val="27"/>
        </w:rPr>
        <w:t>:</w:t>
      </w:r>
    </w:p>
    <w:p w:rsidR="00C964BA" w:rsidRPr="00056C83" w:rsidRDefault="00C964BA" w:rsidP="00C964BA">
      <w:pPr>
        <w:suppressAutoHyphens/>
        <w:ind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t>1. Установить</w:t>
      </w:r>
      <w:r w:rsidR="00370836" w:rsidRPr="00056C83">
        <w:rPr>
          <w:bCs/>
          <w:sz w:val="27"/>
          <w:szCs w:val="27"/>
        </w:rPr>
        <w:t xml:space="preserve"> </w:t>
      </w:r>
      <w:r w:rsidR="00370836" w:rsidRPr="006E5ACD">
        <w:rPr>
          <w:bCs/>
          <w:sz w:val="27"/>
          <w:szCs w:val="27"/>
        </w:rPr>
        <w:t>МУП «Лиманское», ЖКХ МО «Рабочий поселок Лиман»</w:t>
      </w:r>
      <w:r w:rsidR="00370836" w:rsidRPr="00056C83">
        <w:rPr>
          <w:bCs/>
          <w:sz w:val="27"/>
          <w:szCs w:val="27"/>
        </w:rPr>
        <w:t xml:space="preserve"> (ОГРН 1043002784318)</w:t>
      </w:r>
      <w:r w:rsidRPr="00056C83">
        <w:rPr>
          <w:sz w:val="27"/>
          <w:szCs w:val="27"/>
        </w:rPr>
        <w:t xml:space="preserve"> </w:t>
      </w:r>
      <w:proofErr w:type="spellStart"/>
      <w:r w:rsidRPr="00056C83">
        <w:rPr>
          <w:sz w:val="27"/>
          <w:szCs w:val="27"/>
        </w:rPr>
        <w:t>одноставочные</w:t>
      </w:r>
      <w:proofErr w:type="spellEnd"/>
      <w:r w:rsidRPr="00056C83">
        <w:rPr>
          <w:sz w:val="27"/>
          <w:szCs w:val="27"/>
        </w:rPr>
        <w:t xml:space="preserve"> тарифы на техническую воду и водоотведение согласно приложению №</w:t>
      </w:r>
      <w:r w:rsidR="007132A8" w:rsidRPr="00056C83">
        <w:rPr>
          <w:sz w:val="27"/>
          <w:szCs w:val="27"/>
        </w:rPr>
        <w:t> </w:t>
      </w:r>
      <w:r w:rsidR="009E426D" w:rsidRPr="00056C83">
        <w:rPr>
          <w:sz w:val="27"/>
          <w:szCs w:val="27"/>
        </w:rPr>
        <w:t>1 к проекту постановления.</w:t>
      </w:r>
    </w:p>
    <w:p w:rsidR="00C964BA" w:rsidRPr="00056C83" w:rsidRDefault="00C964BA" w:rsidP="00C964BA">
      <w:pPr>
        <w:pStyle w:val="ConsPlusNormal"/>
        <w:ind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t xml:space="preserve">2. Тарифы, установленные </w:t>
      </w:r>
      <w:hyperlink r:id="rId8" w:history="1">
        <w:r w:rsidRPr="00056C83">
          <w:rPr>
            <w:color w:val="000000" w:themeColor="text1"/>
            <w:sz w:val="27"/>
            <w:szCs w:val="27"/>
          </w:rPr>
          <w:t>пунктом 1</w:t>
        </w:r>
      </w:hyperlink>
      <w:r w:rsidRPr="00056C83">
        <w:rPr>
          <w:sz w:val="27"/>
          <w:szCs w:val="27"/>
        </w:rPr>
        <w:t xml:space="preserve"> </w:t>
      </w:r>
      <w:r w:rsidR="009E426D" w:rsidRPr="00056C83">
        <w:rPr>
          <w:sz w:val="27"/>
          <w:szCs w:val="27"/>
        </w:rPr>
        <w:t>постановления, действую</w:t>
      </w:r>
      <w:r w:rsidR="00E9213B">
        <w:rPr>
          <w:sz w:val="27"/>
          <w:szCs w:val="27"/>
        </w:rPr>
        <w:t>т с 01.01.2018 п</w:t>
      </w:r>
      <w:r w:rsidR="00370836" w:rsidRPr="00056C83">
        <w:rPr>
          <w:sz w:val="27"/>
          <w:szCs w:val="27"/>
        </w:rPr>
        <w:t>о 31.12.2020</w:t>
      </w:r>
      <w:r w:rsidRPr="00056C83">
        <w:rPr>
          <w:sz w:val="27"/>
          <w:szCs w:val="27"/>
        </w:rPr>
        <w:t>.</w:t>
      </w:r>
    </w:p>
    <w:p w:rsidR="00C964BA" w:rsidRPr="00056C83" w:rsidRDefault="00C964BA" w:rsidP="00C964BA">
      <w:pPr>
        <w:suppressAutoHyphens/>
        <w:ind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t>3. Установить</w:t>
      </w:r>
      <w:r w:rsidR="00370836" w:rsidRPr="00056C83">
        <w:rPr>
          <w:bCs/>
          <w:sz w:val="27"/>
          <w:szCs w:val="27"/>
        </w:rPr>
        <w:t xml:space="preserve"> </w:t>
      </w:r>
      <w:r w:rsidR="00370836" w:rsidRPr="006E5ACD">
        <w:rPr>
          <w:bCs/>
          <w:sz w:val="27"/>
          <w:szCs w:val="27"/>
        </w:rPr>
        <w:t>МУП «Лиманское», ЖКХ МО «Рабочий поселок Лиман»</w:t>
      </w:r>
      <w:r w:rsidR="00370836" w:rsidRPr="00056C83">
        <w:rPr>
          <w:bCs/>
          <w:sz w:val="27"/>
          <w:szCs w:val="27"/>
        </w:rPr>
        <w:t xml:space="preserve"> (ОГРН 1043002784318)</w:t>
      </w:r>
      <w:r w:rsidRPr="00056C83">
        <w:rPr>
          <w:sz w:val="27"/>
          <w:szCs w:val="27"/>
        </w:rPr>
        <w:t xml:space="preserve"> долгосрочные параметры регулирования тарифов, определяемые на долгосрочный период регулирования при установлении тарифов с использованием метода инде</w:t>
      </w:r>
      <w:r w:rsidR="009E426D" w:rsidRPr="00056C83">
        <w:rPr>
          <w:sz w:val="27"/>
          <w:szCs w:val="27"/>
        </w:rPr>
        <w:t>ксации, согласно приложению № 2 к проекту постановления.</w:t>
      </w:r>
      <w:r w:rsidR="00370836" w:rsidRPr="00056C83">
        <w:rPr>
          <w:sz w:val="27"/>
          <w:szCs w:val="27"/>
        </w:rPr>
        <w:t xml:space="preserve"> </w:t>
      </w:r>
    </w:p>
    <w:p w:rsidR="00C964BA" w:rsidRPr="00056C83" w:rsidRDefault="00C964BA" w:rsidP="00C964BA">
      <w:pPr>
        <w:pStyle w:val="11"/>
        <w:tabs>
          <w:tab w:val="right" w:pos="10773"/>
        </w:tabs>
        <w:ind w:right="-141" w:firstLine="709"/>
        <w:jc w:val="both"/>
        <w:rPr>
          <w:sz w:val="27"/>
          <w:szCs w:val="27"/>
        </w:rPr>
      </w:pPr>
      <w:r w:rsidRPr="00056C83">
        <w:rPr>
          <w:sz w:val="27"/>
          <w:szCs w:val="27"/>
        </w:rPr>
        <w:lastRenderedPageBreak/>
        <w:t xml:space="preserve">4. Признать утратившим силу постановление службы по тарифам Астраханской области от </w:t>
      </w:r>
      <w:r w:rsidR="00370836" w:rsidRPr="00056C83">
        <w:rPr>
          <w:sz w:val="27"/>
          <w:szCs w:val="27"/>
        </w:rPr>
        <w:t>23.11.2016</w:t>
      </w:r>
      <w:r w:rsidRPr="00056C83">
        <w:rPr>
          <w:sz w:val="27"/>
          <w:szCs w:val="27"/>
        </w:rPr>
        <w:t xml:space="preserve"> № </w:t>
      </w:r>
      <w:r w:rsidR="00370836" w:rsidRPr="00056C83">
        <w:rPr>
          <w:sz w:val="27"/>
          <w:szCs w:val="27"/>
        </w:rPr>
        <w:t>128</w:t>
      </w:r>
      <w:r w:rsidRPr="00056C83">
        <w:rPr>
          <w:sz w:val="27"/>
          <w:szCs w:val="27"/>
        </w:rPr>
        <w:t xml:space="preserve"> «Об </w:t>
      </w:r>
      <w:r w:rsidRPr="00056C83">
        <w:rPr>
          <w:color w:val="000000"/>
          <w:sz w:val="27"/>
          <w:szCs w:val="27"/>
          <w:shd w:val="clear" w:color="auto" w:fill="FFFFFF"/>
        </w:rPr>
        <w:t>у</w:t>
      </w:r>
      <w:r w:rsidRPr="00056C83">
        <w:rPr>
          <w:sz w:val="27"/>
          <w:szCs w:val="27"/>
        </w:rPr>
        <w:t xml:space="preserve">становлении </w:t>
      </w:r>
      <w:r w:rsidR="00370836" w:rsidRPr="006E5ACD">
        <w:rPr>
          <w:bCs/>
          <w:sz w:val="27"/>
          <w:szCs w:val="27"/>
        </w:rPr>
        <w:t>МУП «Лиманское», ЖКХ МО «Рабочий поселок Лиман»</w:t>
      </w:r>
      <w:r w:rsidR="00370836" w:rsidRPr="00056C83">
        <w:rPr>
          <w:bCs/>
          <w:sz w:val="27"/>
          <w:szCs w:val="27"/>
        </w:rPr>
        <w:t xml:space="preserve"> (ОГРН 1043002784318) </w:t>
      </w:r>
      <w:r w:rsidRPr="00056C83">
        <w:rPr>
          <w:sz w:val="27"/>
          <w:szCs w:val="27"/>
        </w:rPr>
        <w:t>тарифов в сфере холодного водоснабжения и водоотведения».</w:t>
      </w:r>
    </w:p>
    <w:p w:rsidR="00404C32" w:rsidRPr="007F2DAA" w:rsidRDefault="00404C32" w:rsidP="00404C32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Pr="007F2DAA">
        <w:rPr>
          <w:sz w:val="26"/>
          <w:szCs w:val="26"/>
        </w:rPr>
        <w:t xml:space="preserve">Начальнику отдела контроля и регулирования тарифов в сферах водоснабжения, водоотведения и обращения с твердыми коммунальными отходами службы </w:t>
      </w:r>
      <w:r>
        <w:rPr>
          <w:sz w:val="26"/>
          <w:szCs w:val="26"/>
        </w:rPr>
        <w:t>по тарифам Астраханской области:</w:t>
      </w:r>
    </w:p>
    <w:p w:rsidR="00404C32" w:rsidRPr="007F2DAA" w:rsidRDefault="00404C32" w:rsidP="00404C32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7F2DAA">
        <w:rPr>
          <w:sz w:val="26"/>
          <w:szCs w:val="26"/>
        </w:rPr>
        <w:t>.1. 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опубликования, и размещения на официальном интернет – портале правовой информации органов государственной власти Астраханской области (</w:t>
      </w:r>
      <w:hyperlink r:id="rId9" w:history="1">
        <w:r w:rsidRPr="007F2DAA">
          <w:rPr>
            <w:sz w:val="26"/>
            <w:szCs w:val="26"/>
          </w:rPr>
          <w:t>http://pravo-astrobl.ru</w:t>
        </w:r>
      </w:hyperlink>
      <w:r w:rsidRPr="007F2DAA">
        <w:rPr>
          <w:sz w:val="26"/>
          <w:szCs w:val="26"/>
        </w:rPr>
        <w:t>).</w:t>
      </w:r>
    </w:p>
    <w:p w:rsidR="00404C32" w:rsidRPr="007F2DAA" w:rsidRDefault="00404C32" w:rsidP="00404C32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7F2DAA">
        <w:rPr>
          <w:sz w:val="26"/>
          <w:szCs w:val="26"/>
        </w:rPr>
        <w:t xml:space="preserve">.2. В течение семи рабочих дней со дня принятия направить копию постановления и копию настоящего протокола в </w:t>
      </w:r>
      <w:r w:rsidR="00CA213F" w:rsidRPr="00CA213F">
        <w:rPr>
          <w:bCs/>
          <w:sz w:val="26"/>
          <w:szCs w:val="26"/>
        </w:rPr>
        <w:t>МУП «Лиманское», ЖКХ МО «Рабочий поселок Лиман» (ОГРН 1043002784318)</w:t>
      </w:r>
      <w:r w:rsidR="00CA213F">
        <w:rPr>
          <w:bCs/>
          <w:sz w:val="26"/>
          <w:szCs w:val="26"/>
        </w:rPr>
        <w:t>.</w:t>
      </w:r>
    </w:p>
    <w:p w:rsidR="00404C32" w:rsidRPr="007F2DAA" w:rsidRDefault="00404C32" w:rsidP="00404C3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7F2DAA">
        <w:rPr>
          <w:sz w:val="26"/>
          <w:szCs w:val="26"/>
        </w:rPr>
        <w:t>.3. В течение семи рабочих дней со дня принятия направить копию постановления и копию настоящего протокола в Федеральную антимонопольную службу (в том числе в электронном виде).</w:t>
      </w:r>
    </w:p>
    <w:p w:rsidR="00404C32" w:rsidRPr="007F2DAA" w:rsidRDefault="00404C32" w:rsidP="00404C3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7F2DAA">
        <w:rPr>
          <w:sz w:val="26"/>
          <w:szCs w:val="26"/>
        </w:rPr>
        <w:t>.4. Не позднее семи рабочих дней со дня подписания направить копию постановления в прокуратуру Астраханской области.</w:t>
      </w:r>
    </w:p>
    <w:p w:rsidR="00404C32" w:rsidRPr="007F2DAA" w:rsidRDefault="00404C32" w:rsidP="00404C3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7F2DAA">
        <w:rPr>
          <w:sz w:val="26"/>
          <w:szCs w:val="26"/>
        </w:rPr>
        <w:t>.5. 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404C32" w:rsidRPr="007F2DAA" w:rsidRDefault="00404C32" w:rsidP="00404C3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bookmarkStart w:id="0" w:name="sub_46"/>
      <w:r>
        <w:rPr>
          <w:sz w:val="26"/>
          <w:szCs w:val="26"/>
        </w:rPr>
        <w:t>5</w:t>
      </w:r>
      <w:r w:rsidRPr="007F2DAA">
        <w:rPr>
          <w:sz w:val="26"/>
          <w:szCs w:val="26"/>
        </w:rPr>
        <w:t>.6. 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7F2DAA">
        <w:rPr>
          <w:sz w:val="26"/>
          <w:szCs w:val="26"/>
        </w:rPr>
        <w:t>РентаСервис</w:t>
      </w:r>
      <w:proofErr w:type="spellEnd"/>
      <w:r w:rsidRPr="007F2DAA">
        <w:rPr>
          <w:sz w:val="26"/>
          <w:szCs w:val="26"/>
        </w:rPr>
        <w:t>» и «Гарант» ООО «Астрахань-Гарант-Сервис».</w:t>
      </w:r>
    </w:p>
    <w:bookmarkEnd w:id="0"/>
    <w:p w:rsidR="00404C32" w:rsidRPr="007F2DAA" w:rsidRDefault="00404C32" w:rsidP="00404C3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7F2DAA">
        <w:rPr>
          <w:sz w:val="26"/>
          <w:szCs w:val="26"/>
        </w:rPr>
        <w:t>.7. В течение пяти календарных дней со дня принятия разместить постановление и настоящий протокол на сайте службы по тарифам Астраханской области (www.astrtarif.ru) в информационно-телекоммуникационной сети «Интернет».</w:t>
      </w:r>
    </w:p>
    <w:p w:rsidR="005A31DB" w:rsidRDefault="005A31DB" w:rsidP="00E9213B">
      <w:pPr>
        <w:widowControl w:val="0"/>
        <w:suppressAutoHyphens/>
        <w:autoSpaceDE w:val="0"/>
        <w:autoSpaceDN w:val="0"/>
        <w:adjustRightInd w:val="0"/>
        <w:ind w:right="-81"/>
        <w:jc w:val="both"/>
        <w:rPr>
          <w:sz w:val="28"/>
          <w:szCs w:val="28"/>
        </w:rPr>
      </w:pPr>
    </w:p>
    <w:p w:rsidR="00EE2009" w:rsidRPr="009B7AFB" w:rsidRDefault="00EE2009" w:rsidP="00E9213B">
      <w:pPr>
        <w:widowControl w:val="0"/>
        <w:suppressAutoHyphens/>
        <w:autoSpaceDE w:val="0"/>
        <w:autoSpaceDN w:val="0"/>
        <w:adjustRightInd w:val="0"/>
        <w:ind w:right="-81"/>
        <w:jc w:val="both"/>
        <w:rPr>
          <w:sz w:val="28"/>
          <w:szCs w:val="28"/>
        </w:rPr>
      </w:pPr>
    </w:p>
    <w:tbl>
      <w:tblPr>
        <w:tblW w:w="10242" w:type="dxa"/>
        <w:tblLook w:val="04A0" w:firstRow="1" w:lastRow="0" w:firstColumn="1" w:lastColumn="0" w:noHBand="0" w:noVBand="1"/>
      </w:tblPr>
      <w:tblGrid>
        <w:gridCol w:w="5121"/>
        <w:gridCol w:w="5121"/>
      </w:tblGrid>
      <w:tr w:rsidR="001F6F62" w:rsidRPr="00056C83" w:rsidTr="00E50F30">
        <w:trPr>
          <w:trHeight w:val="806"/>
        </w:trPr>
        <w:tc>
          <w:tcPr>
            <w:tcW w:w="5121" w:type="dxa"/>
            <w:shd w:val="clear" w:color="auto" w:fill="auto"/>
          </w:tcPr>
          <w:p w:rsidR="001F6F62" w:rsidRPr="00056C83" w:rsidRDefault="001F6F62" w:rsidP="00EE2009">
            <w:pPr>
              <w:tabs>
                <w:tab w:val="center" w:pos="2249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>Председатель</w:t>
            </w:r>
            <w:r w:rsidRPr="00056C83">
              <w:rPr>
                <w:b/>
                <w:sz w:val="27"/>
                <w:szCs w:val="27"/>
              </w:rPr>
              <w:tab/>
            </w:r>
          </w:p>
        </w:tc>
        <w:tc>
          <w:tcPr>
            <w:tcW w:w="5121" w:type="dxa"/>
            <w:shd w:val="clear" w:color="auto" w:fill="auto"/>
          </w:tcPr>
          <w:p w:rsidR="001F6F62" w:rsidRPr="00056C83" w:rsidRDefault="001F6F62" w:rsidP="00EE2009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>О.Г. Зверева</w:t>
            </w:r>
          </w:p>
        </w:tc>
      </w:tr>
      <w:tr w:rsidR="00EE2009" w:rsidRPr="00056C83" w:rsidTr="00EE2009">
        <w:trPr>
          <w:trHeight w:val="658"/>
        </w:trPr>
        <w:tc>
          <w:tcPr>
            <w:tcW w:w="5121" w:type="dxa"/>
            <w:shd w:val="clear" w:color="auto" w:fill="auto"/>
          </w:tcPr>
          <w:p w:rsidR="00EE2009" w:rsidRPr="00056C83" w:rsidRDefault="00EE2009" w:rsidP="00EE2009">
            <w:pPr>
              <w:tabs>
                <w:tab w:val="center" w:pos="2249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5121" w:type="dxa"/>
            <w:shd w:val="clear" w:color="auto" w:fill="auto"/>
          </w:tcPr>
          <w:p w:rsidR="00EE2009" w:rsidRPr="00056C83" w:rsidRDefault="00EE2009" w:rsidP="00EE2009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Т.В. Крапивина</w:t>
            </w:r>
          </w:p>
        </w:tc>
      </w:tr>
      <w:tr w:rsidR="00EB55C6" w:rsidRPr="00056C83" w:rsidTr="00EE2009">
        <w:trPr>
          <w:trHeight w:val="955"/>
        </w:trPr>
        <w:tc>
          <w:tcPr>
            <w:tcW w:w="5121" w:type="dxa"/>
            <w:shd w:val="clear" w:color="auto" w:fill="auto"/>
          </w:tcPr>
          <w:p w:rsidR="00EB55C6" w:rsidRPr="00056C83" w:rsidRDefault="00EB55C6" w:rsidP="00EE200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>Члены коллегии</w:t>
            </w:r>
          </w:p>
        </w:tc>
        <w:tc>
          <w:tcPr>
            <w:tcW w:w="5121" w:type="dxa"/>
            <w:shd w:val="clear" w:color="auto" w:fill="auto"/>
          </w:tcPr>
          <w:p w:rsidR="00EB55C6" w:rsidRPr="00056C83" w:rsidRDefault="00EB55C6" w:rsidP="00EE2009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>А.А. Свиридов</w:t>
            </w:r>
          </w:p>
          <w:p w:rsidR="00EB55C6" w:rsidRPr="00056C83" w:rsidRDefault="00EB55C6" w:rsidP="00EE2009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056C83">
              <w:rPr>
                <w:b/>
                <w:sz w:val="27"/>
                <w:szCs w:val="27"/>
              </w:rPr>
              <w:t>Белунина</w:t>
            </w:r>
            <w:proofErr w:type="spellEnd"/>
          </w:p>
        </w:tc>
      </w:tr>
      <w:tr w:rsidR="00EB55C6" w:rsidRPr="00056C83" w:rsidTr="00EE2009">
        <w:trPr>
          <w:trHeight w:val="578"/>
        </w:trPr>
        <w:tc>
          <w:tcPr>
            <w:tcW w:w="5121" w:type="dxa"/>
            <w:shd w:val="clear" w:color="auto" w:fill="auto"/>
          </w:tcPr>
          <w:p w:rsidR="00EB55C6" w:rsidRPr="00056C83" w:rsidRDefault="00EB55C6" w:rsidP="00EE200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121" w:type="dxa"/>
            <w:shd w:val="clear" w:color="auto" w:fill="auto"/>
          </w:tcPr>
          <w:p w:rsidR="00EB55C6" w:rsidRPr="00056C83" w:rsidRDefault="00EB55C6" w:rsidP="00EE2009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bookmarkStart w:id="1" w:name="_GoBack"/>
            <w:bookmarkEnd w:id="1"/>
            <w:r w:rsidRPr="00056C83">
              <w:rPr>
                <w:b/>
                <w:sz w:val="27"/>
                <w:szCs w:val="27"/>
              </w:rPr>
              <w:t>О.А. Меркулова</w:t>
            </w:r>
          </w:p>
        </w:tc>
      </w:tr>
      <w:tr w:rsidR="00EB55C6" w:rsidRPr="00056C83" w:rsidTr="00EE2009">
        <w:trPr>
          <w:trHeight w:val="618"/>
        </w:trPr>
        <w:tc>
          <w:tcPr>
            <w:tcW w:w="5121" w:type="dxa"/>
            <w:shd w:val="clear" w:color="auto" w:fill="auto"/>
          </w:tcPr>
          <w:p w:rsidR="00EB55C6" w:rsidRPr="00056C83" w:rsidRDefault="00EB55C6" w:rsidP="00EE200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121" w:type="dxa"/>
            <w:shd w:val="clear" w:color="auto" w:fill="auto"/>
          </w:tcPr>
          <w:p w:rsidR="00EB55C6" w:rsidRPr="00056C83" w:rsidRDefault="00EB55C6" w:rsidP="00EE2009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EB55C6" w:rsidRPr="00056C83" w:rsidTr="00E50F30">
        <w:trPr>
          <w:trHeight w:val="405"/>
        </w:trPr>
        <w:tc>
          <w:tcPr>
            <w:tcW w:w="5121" w:type="dxa"/>
            <w:shd w:val="clear" w:color="auto" w:fill="auto"/>
          </w:tcPr>
          <w:p w:rsidR="00EB55C6" w:rsidRPr="00056C83" w:rsidRDefault="00EB55C6" w:rsidP="00EE200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121" w:type="dxa"/>
            <w:shd w:val="clear" w:color="auto" w:fill="auto"/>
          </w:tcPr>
          <w:p w:rsidR="00EB55C6" w:rsidRPr="00056C83" w:rsidRDefault="00EB55C6" w:rsidP="00EE2009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056C83">
              <w:rPr>
                <w:b/>
                <w:sz w:val="27"/>
                <w:szCs w:val="27"/>
              </w:rPr>
              <w:t>Турасова</w:t>
            </w:r>
            <w:proofErr w:type="spellEnd"/>
          </w:p>
        </w:tc>
      </w:tr>
      <w:tr w:rsidR="00EB55C6" w:rsidRPr="00056C83" w:rsidTr="00E50F30">
        <w:trPr>
          <w:trHeight w:val="473"/>
        </w:trPr>
        <w:tc>
          <w:tcPr>
            <w:tcW w:w="5121" w:type="dxa"/>
            <w:shd w:val="clear" w:color="auto" w:fill="auto"/>
          </w:tcPr>
          <w:p w:rsidR="00EB55C6" w:rsidRPr="00056C83" w:rsidRDefault="00EB55C6" w:rsidP="00EE200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5121" w:type="dxa"/>
            <w:shd w:val="clear" w:color="auto" w:fill="auto"/>
          </w:tcPr>
          <w:p w:rsidR="00EB55C6" w:rsidRPr="00056C83" w:rsidRDefault="00EB55C6" w:rsidP="00EE2009">
            <w:pPr>
              <w:tabs>
                <w:tab w:val="left" w:pos="7695"/>
              </w:tabs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056C83">
              <w:rPr>
                <w:b/>
                <w:sz w:val="27"/>
                <w:szCs w:val="27"/>
              </w:rPr>
              <w:t xml:space="preserve">Н.В. </w:t>
            </w:r>
            <w:proofErr w:type="spellStart"/>
            <w:r w:rsidRPr="00056C83">
              <w:rPr>
                <w:b/>
                <w:sz w:val="27"/>
                <w:szCs w:val="27"/>
              </w:rPr>
              <w:t>Камышанова</w:t>
            </w:r>
            <w:proofErr w:type="spellEnd"/>
          </w:p>
        </w:tc>
      </w:tr>
    </w:tbl>
    <w:p w:rsidR="00226723" w:rsidRPr="009B7AFB" w:rsidRDefault="00226723" w:rsidP="00547CD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9B7AFB" w:rsidSect="00FD5F38">
      <w:headerReference w:type="even" r:id="rId10"/>
      <w:headerReference w:type="default" r:id="rId11"/>
      <w:pgSz w:w="11906" w:h="16838"/>
      <w:pgMar w:top="1135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BF6" w:rsidRDefault="007A4BF6">
      <w:r>
        <w:separator/>
      </w:r>
    </w:p>
  </w:endnote>
  <w:endnote w:type="continuationSeparator" w:id="0">
    <w:p w:rsidR="007A4BF6" w:rsidRDefault="007A4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BF6" w:rsidRDefault="007A4BF6">
      <w:r>
        <w:separator/>
      </w:r>
    </w:p>
  </w:footnote>
  <w:footnote w:type="continuationSeparator" w:id="0">
    <w:p w:rsidR="007A4BF6" w:rsidRDefault="007A4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009" w:rsidRDefault="00EE2009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EE2009" w:rsidRDefault="00EE20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009" w:rsidRPr="009201B2" w:rsidRDefault="00EE2009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FB514E">
      <w:rPr>
        <w:rStyle w:val="a9"/>
        <w:noProof/>
        <w:sz w:val="20"/>
        <w:szCs w:val="20"/>
      </w:rPr>
      <w:t>7</w:t>
    </w:r>
    <w:r w:rsidRPr="009201B2">
      <w:rPr>
        <w:rStyle w:val="a9"/>
        <w:sz w:val="20"/>
        <w:szCs w:val="20"/>
      </w:rPr>
      <w:fldChar w:fldCharType="end"/>
    </w:r>
  </w:p>
  <w:p w:rsidR="00EE2009" w:rsidRDefault="00EE20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A56E7"/>
    <w:multiLevelType w:val="hybridMultilevel"/>
    <w:tmpl w:val="3DDC81EE"/>
    <w:lvl w:ilvl="0" w:tplc="8DFC98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6974BB3"/>
    <w:multiLevelType w:val="hybridMultilevel"/>
    <w:tmpl w:val="5A14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1"/>
  </w:num>
  <w:num w:numId="5">
    <w:abstractNumId w:val="16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C9E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36C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00FF"/>
    <w:rsid w:val="00043169"/>
    <w:rsid w:val="0004321A"/>
    <w:rsid w:val="00043847"/>
    <w:rsid w:val="000463E4"/>
    <w:rsid w:val="00047E86"/>
    <w:rsid w:val="00051B66"/>
    <w:rsid w:val="00051CF6"/>
    <w:rsid w:val="00052949"/>
    <w:rsid w:val="00056C83"/>
    <w:rsid w:val="00057376"/>
    <w:rsid w:val="0005756B"/>
    <w:rsid w:val="00062BBA"/>
    <w:rsid w:val="00065DF8"/>
    <w:rsid w:val="00067B22"/>
    <w:rsid w:val="000708F7"/>
    <w:rsid w:val="0008209C"/>
    <w:rsid w:val="00084CB3"/>
    <w:rsid w:val="00084EF2"/>
    <w:rsid w:val="00091870"/>
    <w:rsid w:val="0009322E"/>
    <w:rsid w:val="00093C73"/>
    <w:rsid w:val="00094AA2"/>
    <w:rsid w:val="00096854"/>
    <w:rsid w:val="00096D71"/>
    <w:rsid w:val="000A01CB"/>
    <w:rsid w:val="000A3FBA"/>
    <w:rsid w:val="000A64F2"/>
    <w:rsid w:val="000A7C77"/>
    <w:rsid w:val="000A7D29"/>
    <w:rsid w:val="000B0B4B"/>
    <w:rsid w:val="000B1931"/>
    <w:rsid w:val="000B20DC"/>
    <w:rsid w:val="000B23D7"/>
    <w:rsid w:val="000B4DB9"/>
    <w:rsid w:val="000B56DE"/>
    <w:rsid w:val="000B5AE3"/>
    <w:rsid w:val="000B6EF6"/>
    <w:rsid w:val="000B7191"/>
    <w:rsid w:val="000C1239"/>
    <w:rsid w:val="000C160F"/>
    <w:rsid w:val="000C1617"/>
    <w:rsid w:val="000C39D4"/>
    <w:rsid w:val="000C47B2"/>
    <w:rsid w:val="000C4B0B"/>
    <w:rsid w:val="000C701D"/>
    <w:rsid w:val="000D100B"/>
    <w:rsid w:val="000D2413"/>
    <w:rsid w:val="000D40A6"/>
    <w:rsid w:val="000D48A3"/>
    <w:rsid w:val="000D64D2"/>
    <w:rsid w:val="000E063E"/>
    <w:rsid w:val="000E102F"/>
    <w:rsid w:val="000E2BD1"/>
    <w:rsid w:val="000E5BF7"/>
    <w:rsid w:val="000F2B04"/>
    <w:rsid w:val="000F466E"/>
    <w:rsid w:val="000F654C"/>
    <w:rsid w:val="000F65AC"/>
    <w:rsid w:val="000F6DF2"/>
    <w:rsid w:val="00101BB8"/>
    <w:rsid w:val="00103310"/>
    <w:rsid w:val="00103B14"/>
    <w:rsid w:val="00105518"/>
    <w:rsid w:val="00107ECC"/>
    <w:rsid w:val="00110732"/>
    <w:rsid w:val="00112A83"/>
    <w:rsid w:val="00113827"/>
    <w:rsid w:val="0012468A"/>
    <w:rsid w:val="00124FFF"/>
    <w:rsid w:val="001342AF"/>
    <w:rsid w:val="00135A30"/>
    <w:rsid w:val="001408A6"/>
    <w:rsid w:val="001419CE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291B"/>
    <w:rsid w:val="00166D79"/>
    <w:rsid w:val="00171620"/>
    <w:rsid w:val="00174607"/>
    <w:rsid w:val="0017498B"/>
    <w:rsid w:val="00174EB2"/>
    <w:rsid w:val="0017609C"/>
    <w:rsid w:val="001772BC"/>
    <w:rsid w:val="001809C1"/>
    <w:rsid w:val="00182D25"/>
    <w:rsid w:val="00185514"/>
    <w:rsid w:val="00193CD6"/>
    <w:rsid w:val="00195072"/>
    <w:rsid w:val="00197E96"/>
    <w:rsid w:val="001A0281"/>
    <w:rsid w:val="001A0D87"/>
    <w:rsid w:val="001A12F7"/>
    <w:rsid w:val="001A17CD"/>
    <w:rsid w:val="001A1A41"/>
    <w:rsid w:val="001A224B"/>
    <w:rsid w:val="001A238B"/>
    <w:rsid w:val="001A3DAB"/>
    <w:rsid w:val="001A46F7"/>
    <w:rsid w:val="001A4E1E"/>
    <w:rsid w:val="001A5CA8"/>
    <w:rsid w:val="001B341A"/>
    <w:rsid w:val="001B4700"/>
    <w:rsid w:val="001B5A93"/>
    <w:rsid w:val="001C0ACB"/>
    <w:rsid w:val="001C23D4"/>
    <w:rsid w:val="001D1C26"/>
    <w:rsid w:val="001D2226"/>
    <w:rsid w:val="001D2259"/>
    <w:rsid w:val="001E1232"/>
    <w:rsid w:val="001E2239"/>
    <w:rsid w:val="001E7086"/>
    <w:rsid w:val="001F01A2"/>
    <w:rsid w:val="001F0C60"/>
    <w:rsid w:val="001F6B40"/>
    <w:rsid w:val="001F6EA6"/>
    <w:rsid w:val="001F6F62"/>
    <w:rsid w:val="002001E5"/>
    <w:rsid w:val="002003F1"/>
    <w:rsid w:val="0020054D"/>
    <w:rsid w:val="002007C0"/>
    <w:rsid w:val="00200D4F"/>
    <w:rsid w:val="00202010"/>
    <w:rsid w:val="002023F2"/>
    <w:rsid w:val="00204493"/>
    <w:rsid w:val="00210BD8"/>
    <w:rsid w:val="00211A34"/>
    <w:rsid w:val="002138F8"/>
    <w:rsid w:val="00215703"/>
    <w:rsid w:val="0021660C"/>
    <w:rsid w:val="00220546"/>
    <w:rsid w:val="00221A78"/>
    <w:rsid w:val="002234C3"/>
    <w:rsid w:val="002252F7"/>
    <w:rsid w:val="00226723"/>
    <w:rsid w:val="00227679"/>
    <w:rsid w:val="00231941"/>
    <w:rsid w:val="00236D28"/>
    <w:rsid w:val="00236DFA"/>
    <w:rsid w:val="00243F15"/>
    <w:rsid w:val="00253C2F"/>
    <w:rsid w:val="00256F2F"/>
    <w:rsid w:val="00257CBC"/>
    <w:rsid w:val="00262D02"/>
    <w:rsid w:val="00262EC3"/>
    <w:rsid w:val="002653B3"/>
    <w:rsid w:val="002673CA"/>
    <w:rsid w:val="00270422"/>
    <w:rsid w:val="00270EC7"/>
    <w:rsid w:val="0027249B"/>
    <w:rsid w:val="002728E4"/>
    <w:rsid w:val="00273399"/>
    <w:rsid w:val="002742B0"/>
    <w:rsid w:val="00275829"/>
    <w:rsid w:val="0027598D"/>
    <w:rsid w:val="00276F56"/>
    <w:rsid w:val="00276F94"/>
    <w:rsid w:val="002775DA"/>
    <w:rsid w:val="00277ADE"/>
    <w:rsid w:val="002801F2"/>
    <w:rsid w:val="0028055A"/>
    <w:rsid w:val="00283879"/>
    <w:rsid w:val="002838D5"/>
    <w:rsid w:val="00284AD3"/>
    <w:rsid w:val="002864EA"/>
    <w:rsid w:val="00287129"/>
    <w:rsid w:val="00292B3A"/>
    <w:rsid w:val="002936DC"/>
    <w:rsid w:val="00296D4E"/>
    <w:rsid w:val="002A2389"/>
    <w:rsid w:val="002A2751"/>
    <w:rsid w:val="002A42FC"/>
    <w:rsid w:val="002A4EB9"/>
    <w:rsid w:val="002A5453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B7A32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117F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8A3"/>
    <w:rsid w:val="00311C43"/>
    <w:rsid w:val="00313A5B"/>
    <w:rsid w:val="003151C9"/>
    <w:rsid w:val="0031574D"/>
    <w:rsid w:val="00320758"/>
    <w:rsid w:val="003210F0"/>
    <w:rsid w:val="003238B4"/>
    <w:rsid w:val="003261A2"/>
    <w:rsid w:val="00326D4E"/>
    <w:rsid w:val="00327AA1"/>
    <w:rsid w:val="00331228"/>
    <w:rsid w:val="003325A9"/>
    <w:rsid w:val="00335AA6"/>
    <w:rsid w:val="0033680E"/>
    <w:rsid w:val="00340535"/>
    <w:rsid w:val="00341653"/>
    <w:rsid w:val="0034489F"/>
    <w:rsid w:val="0034618F"/>
    <w:rsid w:val="00346955"/>
    <w:rsid w:val="003505B6"/>
    <w:rsid w:val="00351360"/>
    <w:rsid w:val="00355DB2"/>
    <w:rsid w:val="003570E8"/>
    <w:rsid w:val="0035760F"/>
    <w:rsid w:val="00360DFE"/>
    <w:rsid w:val="003618A9"/>
    <w:rsid w:val="00363E9A"/>
    <w:rsid w:val="0037007E"/>
    <w:rsid w:val="0037052A"/>
    <w:rsid w:val="00370836"/>
    <w:rsid w:val="00370A39"/>
    <w:rsid w:val="00371773"/>
    <w:rsid w:val="00372046"/>
    <w:rsid w:val="0037318A"/>
    <w:rsid w:val="003739A9"/>
    <w:rsid w:val="0037443E"/>
    <w:rsid w:val="003746DE"/>
    <w:rsid w:val="00374DB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870"/>
    <w:rsid w:val="003F7431"/>
    <w:rsid w:val="00401642"/>
    <w:rsid w:val="00404C3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ED"/>
    <w:rsid w:val="004403FB"/>
    <w:rsid w:val="004414E3"/>
    <w:rsid w:val="00443429"/>
    <w:rsid w:val="004442EE"/>
    <w:rsid w:val="00447038"/>
    <w:rsid w:val="0045130B"/>
    <w:rsid w:val="00455CA1"/>
    <w:rsid w:val="00455DFB"/>
    <w:rsid w:val="00456C10"/>
    <w:rsid w:val="00456E4F"/>
    <w:rsid w:val="00460A00"/>
    <w:rsid w:val="00464B5A"/>
    <w:rsid w:val="00466C44"/>
    <w:rsid w:val="00470009"/>
    <w:rsid w:val="004729BE"/>
    <w:rsid w:val="0047465C"/>
    <w:rsid w:val="00476529"/>
    <w:rsid w:val="00476BC7"/>
    <w:rsid w:val="00476DAD"/>
    <w:rsid w:val="00482D6C"/>
    <w:rsid w:val="00487C09"/>
    <w:rsid w:val="0049297C"/>
    <w:rsid w:val="00495208"/>
    <w:rsid w:val="004968FA"/>
    <w:rsid w:val="004A01F6"/>
    <w:rsid w:val="004A05C4"/>
    <w:rsid w:val="004A062C"/>
    <w:rsid w:val="004A4F73"/>
    <w:rsid w:val="004A76E8"/>
    <w:rsid w:val="004B0731"/>
    <w:rsid w:val="004B48C7"/>
    <w:rsid w:val="004B5030"/>
    <w:rsid w:val="004B5C7B"/>
    <w:rsid w:val="004C08D9"/>
    <w:rsid w:val="004C178A"/>
    <w:rsid w:val="004C1C29"/>
    <w:rsid w:val="004C2D63"/>
    <w:rsid w:val="004C349C"/>
    <w:rsid w:val="004C3CB3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7A1"/>
    <w:rsid w:val="004E5FC4"/>
    <w:rsid w:val="004E6E26"/>
    <w:rsid w:val="004E78DB"/>
    <w:rsid w:val="004F00C1"/>
    <w:rsid w:val="004F1EE6"/>
    <w:rsid w:val="004F310E"/>
    <w:rsid w:val="004F3DA8"/>
    <w:rsid w:val="004F5615"/>
    <w:rsid w:val="004F5F3E"/>
    <w:rsid w:val="00501CB8"/>
    <w:rsid w:val="00504A28"/>
    <w:rsid w:val="00512C3F"/>
    <w:rsid w:val="00513739"/>
    <w:rsid w:val="00516075"/>
    <w:rsid w:val="0052419E"/>
    <w:rsid w:val="00526228"/>
    <w:rsid w:val="00533A69"/>
    <w:rsid w:val="00534FF4"/>
    <w:rsid w:val="00535229"/>
    <w:rsid w:val="005377BA"/>
    <w:rsid w:val="0054010C"/>
    <w:rsid w:val="00546D72"/>
    <w:rsid w:val="00547CDD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A1098"/>
    <w:rsid w:val="005A2FA5"/>
    <w:rsid w:val="005A31DB"/>
    <w:rsid w:val="005A6491"/>
    <w:rsid w:val="005A6627"/>
    <w:rsid w:val="005A75DA"/>
    <w:rsid w:val="005B45B4"/>
    <w:rsid w:val="005B6858"/>
    <w:rsid w:val="005C050F"/>
    <w:rsid w:val="005C5108"/>
    <w:rsid w:val="005C5488"/>
    <w:rsid w:val="005C569C"/>
    <w:rsid w:val="005C5DE4"/>
    <w:rsid w:val="005D19CB"/>
    <w:rsid w:val="005D3664"/>
    <w:rsid w:val="005D6BD8"/>
    <w:rsid w:val="005D73D1"/>
    <w:rsid w:val="005D7D0A"/>
    <w:rsid w:val="005E0100"/>
    <w:rsid w:val="005E0C21"/>
    <w:rsid w:val="005E1DFF"/>
    <w:rsid w:val="005E47A4"/>
    <w:rsid w:val="005E53AD"/>
    <w:rsid w:val="005F1C01"/>
    <w:rsid w:val="005F2333"/>
    <w:rsid w:val="005F31C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46E9"/>
    <w:rsid w:val="00624F81"/>
    <w:rsid w:val="00625029"/>
    <w:rsid w:val="006268E6"/>
    <w:rsid w:val="00631272"/>
    <w:rsid w:val="0063127B"/>
    <w:rsid w:val="00632680"/>
    <w:rsid w:val="0063327B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95111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63C"/>
    <w:rsid w:val="006B6F22"/>
    <w:rsid w:val="006B7043"/>
    <w:rsid w:val="006C2740"/>
    <w:rsid w:val="006C55BC"/>
    <w:rsid w:val="006C5E2C"/>
    <w:rsid w:val="006C6FE1"/>
    <w:rsid w:val="006D0C4A"/>
    <w:rsid w:val="006D1710"/>
    <w:rsid w:val="006D48F6"/>
    <w:rsid w:val="006D5F07"/>
    <w:rsid w:val="006D68A1"/>
    <w:rsid w:val="006E1330"/>
    <w:rsid w:val="006E15D4"/>
    <w:rsid w:val="006E3999"/>
    <w:rsid w:val="006E3B51"/>
    <w:rsid w:val="006E509B"/>
    <w:rsid w:val="006F0274"/>
    <w:rsid w:val="006F12E4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9ED"/>
    <w:rsid w:val="007132A8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3B9E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6CDE"/>
    <w:rsid w:val="007572C2"/>
    <w:rsid w:val="0076300A"/>
    <w:rsid w:val="00764B71"/>
    <w:rsid w:val="0076554F"/>
    <w:rsid w:val="00770EAA"/>
    <w:rsid w:val="00774AD7"/>
    <w:rsid w:val="00775924"/>
    <w:rsid w:val="00780708"/>
    <w:rsid w:val="00782B68"/>
    <w:rsid w:val="007856A1"/>
    <w:rsid w:val="00787B0F"/>
    <w:rsid w:val="00790217"/>
    <w:rsid w:val="00790DB6"/>
    <w:rsid w:val="00791C46"/>
    <w:rsid w:val="00791FEE"/>
    <w:rsid w:val="00793AFA"/>
    <w:rsid w:val="00797D1F"/>
    <w:rsid w:val="007A0549"/>
    <w:rsid w:val="007A246F"/>
    <w:rsid w:val="007A4BF6"/>
    <w:rsid w:val="007B054B"/>
    <w:rsid w:val="007B2B8D"/>
    <w:rsid w:val="007B2EFE"/>
    <w:rsid w:val="007B35E7"/>
    <w:rsid w:val="007B4087"/>
    <w:rsid w:val="007C444B"/>
    <w:rsid w:val="007C573D"/>
    <w:rsid w:val="007D3FE7"/>
    <w:rsid w:val="007D45D7"/>
    <w:rsid w:val="007D4841"/>
    <w:rsid w:val="007E1108"/>
    <w:rsid w:val="007E247A"/>
    <w:rsid w:val="007E30B8"/>
    <w:rsid w:val="007E4EC6"/>
    <w:rsid w:val="007E6920"/>
    <w:rsid w:val="007E7C8D"/>
    <w:rsid w:val="007F1199"/>
    <w:rsid w:val="007F1431"/>
    <w:rsid w:val="007F36A5"/>
    <w:rsid w:val="007F40EC"/>
    <w:rsid w:val="007F4355"/>
    <w:rsid w:val="007F5849"/>
    <w:rsid w:val="007F6A8B"/>
    <w:rsid w:val="00802274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5B74"/>
    <w:rsid w:val="00826137"/>
    <w:rsid w:val="0083107E"/>
    <w:rsid w:val="008317A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660"/>
    <w:rsid w:val="00850C5C"/>
    <w:rsid w:val="00851C2B"/>
    <w:rsid w:val="0085215A"/>
    <w:rsid w:val="00853100"/>
    <w:rsid w:val="00857B95"/>
    <w:rsid w:val="008628DD"/>
    <w:rsid w:val="00866914"/>
    <w:rsid w:val="00866F4B"/>
    <w:rsid w:val="00867039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BE1"/>
    <w:rsid w:val="008B3CAA"/>
    <w:rsid w:val="008B71ED"/>
    <w:rsid w:val="008C1112"/>
    <w:rsid w:val="008C180F"/>
    <w:rsid w:val="008C7361"/>
    <w:rsid w:val="008C78C9"/>
    <w:rsid w:val="008D2445"/>
    <w:rsid w:val="008D2C0F"/>
    <w:rsid w:val="008D56AC"/>
    <w:rsid w:val="008D6200"/>
    <w:rsid w:val="008E1C08"/>
    <w:rsid w:val="008E5CD5"/>
    <w:rsid w:val="008E78A2"/>
    <w:rsid w:val="008F0F4C"/>
    <w:rsid w:val="008F15B5"/>
    <w:rsid w:val="008F1AD2"/>
    <w:rsid w:val="008F235C"/>
    <w:rsid w:val="008F2B0B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522"/>
    <w:rsid w:val="00910EC5"/>
    <w:rsid w:val="00911E46"/>
    <w:rsid w:val="00912725"/>
    <w:rsid w:val="009128A3"/>
    <w:rsid w:val="00913C27"/>
    <w:rsid w:val="00913DCB"/>
    <w:rsid w:val="009144F0"/>
    <w:rsid w:val="00915065"/>
    <w:rsid w:val="00916B8B"/>
    <w:rsid w:val="009201B2"/>
    <w:rsid w:val="00923702"/>
    <w:rsid w:val="00927AF7"/>
    <w:rsid w:val="00930DB5"/>
    <w:rsid w:val="00931207"/>
    <w:rsid w:val="00931B6D"/>
    <w:rsid w:val="00931D92"/>
    <w:rsid w:val="00932A93"/>
    <w:rsid w:val="0093618D"/>
    <w:rsid w:val="0094110D"/>
    <w:rsid w:val="00942A34"/>
    <w:rsid w:val="00952C6A"/>
    <w:rsid w:val="00952CF7"/>
    <w:rsid w:val="009534A4"/>
    <w:rsid w:val="00953640"/>
    <w:rsid w:val="00953FCA"/>
    <w:rsid w:val="00954B2A"/>
    <w:rsid w:val="0095639D"/>
    <w:rsid w:val="00956577"/>
    <w:rsid w:val="00957C2F"/>
    <w:rsid w:val="00960BD3"/>
    <w:rsid w:val="00965C00"/>
    <w:rsid w:val="00965C66"/>
    <w:rsid w:val="009663B4"/>
    <w:rsid w:val="009677C3"/>
    <w:rsid w:val="009705C4"/>
    <w:rsid w:val="0097232E"/>
    <w:rsid w:val="009748D0"/>
    <w:rsid w:val="00977784"/>
    <w:rsid w:val="00984817"/>
    <w:rsid w:val="009872E6"/>
    <w:rsid w:val="00987646"/>
    <w:rsid w:val="009930D1"/>
    <w:rsid w:val="009949AF"/>
    <w:rsid w:val="0099583B"/>
    <w:rsid w:val="00995C60"/>
    <w:rsid w:val="0099743A"/>
    <w:rsid w:val="009A0441"/>
    <w:rsid w:val="009A0FB9"/>
    <w:rsid w:val="009A126B"/>
    <w:rsid w:val="009A1334"/>
    <w:rsid w:val="009A2F91"/>
    <w:rsid w:val="009A42AE"/>
    <w:rsid w:val="009A5123"/>
    <w:rsid w:val="009A59A2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B7AFB"/>
    <w:rsid w:val="009C1DA2"/>
    <w:rsid w:val="009C4FA4"/>
    <w:rsid w:val="009D055B"/>
    <w:rsid w:val="009D0F38"/>
    <w:rsid w:val="009D1465"/>
    <w:rsid w:val="009D1991"/>
    <w:rsid w:val="009D1BB5"/>
    <w:rsid w:val="009D36E8"/>
    <w:rsid w:val="009D6F77"/>
    <w:rsid w:val="009E2EB4"/>
    <w:rsid w:val="009E426D"/>
    <w:rsid w:val="009E6596"/>
    <w:rsid w:val="009F2250"/>
    <w:rsid w:val="009F4C51"/>
    <w:rsid w:val="00A02002"/>
    <w:rsid w:val="00A03B3F"/>
    <w:rsid w:val="00A076A3"/>
    <w:rsid w:val="00A100CD"/>
    <w:rsid w:val="00A10D16"/>
    <w:rsid w:val="00A16E35"/>
    <w:rsid w:val="00A233DE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1E7F"/>
    <w:rsid w:val="00A4632C"/>
    <w:rsid w:val="00A528A3"/>
    <w:rsid w:val="00A52F29"/>
    <w:rsid w:val="00A573AD"/>
    <w:rsid w:val="00A57565"/>
    <w:rsid w:val="00A57D59"/>
    <w:rsid w:val="00A6174B"/>
    <w:rsid w:val="00A64717"/>
    <w:rsid w:val="00A65EAF"/>
    <w:rsid w:val="00A677EE"/>
    <w:rsid w:val="00A70669"/>
    <w:rsid w:val="00A706D5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5CE7"/>
    <w:rsid w:val="00AB0393"/>
    <w:rsid w:val="00AB1AF0"/>
    <w:rsid w:val="00AB3305"/>
    <w:rsid w:val="00AB361C"/>
    <w:rsid w:val="00AB53D4"/>
    <w:rsid w:val="00AC069E"/>
    <w:rsid w:val="00AC1070"/>
    <w:rsid w:val="00AC27DC"/>
    <w:rsid w:val="00AC2E33"/>
    <w:rsid w:val="00AC30EF"/>
    <w:rsid w:val="00AD136C"/>
    <w:rsid w:val="00AD27C0"/>
    <w:rsid w:val="00AD4F61"/>
    <w:rsid w:val="00AD5F59"/>
    <w:rsid w:val="00AD62DC"/>
    <w:rsid w:val="00AD6FCB"/>
    <w:rsid w:val="00AE09DF"/>
    <w:rsid w:val="00AE0EE9"/>
    <w:rsid w:val="00AE321F"/>
    <w:rsid w:val="00AE7DE2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3B57"/>
    <w:rsid w:val="00B25FF7"/>
    <w:rsid w:val="00B26428"/>
    <w:rsid w:val="00B26436"/>
    <w:rsid w:val="00B26EA3"/>
    <w:rsid w:val="00B312F5"/>
    <w:rsid w:val="00B31CB7"/>
    <w:rsid w:val="00B34BA7"/>
    <w:rsid w:val="00B35EA1"/>
    <w:rsid w:val="00B36DB5"/>
    <w:rsid w:val="00B432F6"/>
    <w:rsid w:val="00B436D0"/>
    <w:rsid w:val="00B43F57"/>
    <w:rsid w:val="00B47698"/>
    <w:rsid w:val="00B47CAB"/>
    <w:rsid w:val="00B5169B"/>
    <w:rsid w:val="00B57385"/>
    <w:rsid w:val="00B57868"/>
    <w:rsid w:val="00B615B6"/>
    <w:rsid w:val="00B659B1"/>
    <w:rsid w:val="00B721DC"/>
    <w:rsid w:val="00B734C9"/>
    <w:rsid w:val="00B73B84"/>
    <w:rsid w:val="00B73CAC"/>
    <w:rsid w:val="00B74D28"/>
    <w:rsid w:val="00B75B3C"/>
    <w:rsid w:val="00B76091"/>
    <w:rsid w:val="00B80C81"/>
    <w:rsid w:val="00B82154"/>
    <w:rsid w:val="00B83AF5"/>
    <w:rsid w:val="00B847D8"/>
    <w:rsid w:val="00B93992"/>
    <w:rsid w:val="00B93A0C"/>
    <w:rsid w:val="00BA042A"/>
    <w:rsid w:val="00BA7CB5"/>
    <w:rsid w:val="00BB1565"/>
    <w:rsid w:val="00BB344D"/>
    <w:rsid w:val="00BB4218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BF7AB6"/>
    <w:rsid w:val="00BF7B32"/>
    <w:rsid w:val="00C00F78"/>
    <w:rsid w:val="00C12C08"/>
    <w:rsid w:val="00C21F77"/>
    <w:rsid w:val="00C226EE"/>
    <w:rsid w:val="00C25C01"/>
    <w:rsid w:val="00C30A36"/>
    <w:rsid w:val="00C33C6B"/>
    <w:rsid w:val="00C34EDC"/>
    <w:rsid w:val="00C37EA3"/>
    <w:rsid w:val="00C4018E"/>
    <w:rsid w:val="00C42366"/>
    <w:rsid w:val="00C42373"/>
    <w:rsid w:val="00C431E6"/>
    <w:rsid w:val="00C445B4"/>
    <w:rsid w:val="00C44ADB"/>
    <w:rsid w:val="00C4677B"/>
    <w:rsid w:val="00C476D2"/>
    <w:rsid w:val="00C5026C"/>
    <w:rsid w:val="00C52DA8"/>
    <w:rsid w:val="00C531CE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81784"/>
    <w:rsid w:val="00C81F03"/>
    <w:rsid w:val="00C82746"/>
    <w:rsid w:val="00C82A4B"/>
    <w:rsid w:val="00C82AEF"/>
    <w:rsid w:val="00C8466A"/>
    <w:rsid w:val="00C86954"/>
    <w:rsid w:val="00C931DF"/>
    <w:rsid w:val="00C933B1"/>
    <w:rsid w:val="00C93D8C"/>
    <w:rsid w:val="00C946F1"/>
    <w:rsid w:val="00C9607D"/>
    <w:rsid w:val="00C9628C"/>
    <w:rsid w:val="00C964BA"/>
    <w:rsid w:val="00C969EB"/>
    <w:rsid w:val="00CA08FC"/>
    <w:rsid w:val="00CA213F"/>
    <w:rsid w:val="00CA77DE"/>
    <w:rsid w:val="00CB094B"/>
    <w:rsid w:val="00CB0E44"/>
    <w:rsid w:val="00CB0EAB"/>
    <w:rsid w:val="00CB4DB1"/>
    <w:rsid w:val="00CB6192"/>
    <w:rsid w:val="00CB6C3E"/>
    <w:rsid w:val="00CB7680"/>
    <w:rsid w:val="00CC1C43"/>
    <w:rsid w:val="00CC2168"/>
    <w:rsid w:val="00CC2F67"/>
    <w:rsid w:val="00CC308D"/>
    <w:rsid w:val="00CC63D1"/>
    <w:rsid w:val="00CC6A63"/>
    <w:rsid w:val="00CC7710"/>
    <w:rsid w:val="00CC797E"/>
    <w:rsid w:val="00CD1AFC"/>
    <w:rsid w:val="00CD21E7"/>
    <w:rsid w:val="00CD2D9F"/>
    <w:rsid w:val="00CD4D3A"/>
    <w:rsid w:val="00CD7567"/>
    <w:rsid w:val="00CE12BB"/>
    <w:rsid w:val="00CE2B52"/>
    <w:rsid w:val="00CE352C"/>
    <w:rsid w:val="00CE4874"/>
    <w:rsid w:val="00CF0C50"/>
    <w:rsid w:val="00CF14F1"/>
    <w:rsid w:val="00CF39C8"/>
    <w:rsid w:val="00CF48C6"/>
    <w:rsid w:val="00CF49C2"/>
    <w:rsid w:val="00D01B7C"/>
    <w:rsid w:val="00D03BA4"/>
    <w:rsid w:val="00D03CA5"/>
    <w:rsid w:val="00D04503"/>
    <w:rsid w:val="00D05AB2"/>
    <w:rsid w:val="00D065DC"/>
    <w:rsid w:val="00D10C27"/>
    <w:rsid w:val="00D10D0C"/>
    <w:rsid w:val="00D13B5C"/>
    <w:rsid w:val="00D15698"/>
    <w:rsid w:val="00D15B83"/>
    <w:rsid w:val="00D16078"/>
    <w:rsid w:val="00D16E8D"/>
    <w:rsid w:val="00D20D94"/>
    <w:rsid w:val="00D2625F"/>
    <w:rsid w:val="00D26315"/>
    <w:rsid w:val="00D37AF6"/>
    <w:rsid w:val="00D42BF7"/>
    <w:rsid w:val="00D42CC0"/>
    <w:rsid w:val="00D44F60"/>
    <w:rsid w:val="00D46075"/>
    <w:rsid w:val="00D46722"/>
    <w:rsid w:val="00D47A2C"/>
    <w:rsid w:val="00D505D0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71A6F"/>
    <w:rsid w:val="00D73FC6"/>
    <w:rsid w:val="00D75DA8"/>
    <w:rsid w:val="00D80BB5"/>
    <w:rsid w:val="00D80DB3"/>
    <w:rsid w:val="00D8224F"/>
    <w:rsid w:val="00D82992"/>
    <w:rsid w:val="00D8363D"/>
    <w:rsid w:val="00D85B41"/>
    <w:rsid w:val="00D85C89"/>
    <w:rsid w:val="00D860AE"/>
    <w:rsid w:val="00D87533"/>
    <w:rsid w:val="00D91E60"/>
    <w:rsid w:val="00D93DD4"/>
    <w:rsid w:val="00D97CA6"/>
    <w:rsid w:val="00DA0520"/>
    <w:rsid w:val="00DA203B"/>
    <w:rsid w:val="00DA30E7"/>
    <w:rsid w:val="00DA3331"/>
    <w:rsid w:val="00DA3F18"/>
    <w:rsid w:val="00DA40CE"/>
    <w:rsid w:val="00DA5515"/>
    <w:rsid w:val="00DB11A0"/>
    <w:rsid w:val="00DB14D3"/>
    <w:rsid w:val="00DB2E1F"/>
    <w:rsid w:val="00DB386E"/>
    <w:rsid w:val="00DB3E55"/>
    <w:rsid w:val="00DB4125"/>
    <w:rsid w:val="00DB5305"/>
    <w:rsid w:val="00DB5A58"/>
    <w:rsid w:val="00DB5D17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FE3"/>
    <w:rsid w:val="00E06482"/>
    <w:rsid w:val="00E068C1"/>
    <w:rsid w:val="00E10967"/>
    <w:rsid w:val="00E1345E"/>
    <w:rsid w:val="00E150B0"/>
    <w:rsid w:val="00E20ADF"/>
    <w:rsid w:val="00E21C4C"/>
    <w:rsid w:val="00E25E7B"/>
    <w:rsid w:val="00E2648A"/>
    <w:rsid w:val="00E2668E"/>
    <w:rsid w:val="00E324D6"/>
    <w:rsid w:val="00E349F6"/>
    <w:rsid w:val="00E35B10"/>
    <w:rsid w:val="00E40B07"/>
    <w:rsid w:val="00E40E8B"/>
    <w:rsid w:val="00E41083"/>
    <w:rsid w:val="00E41AA7"/>
    <w:rsid w:val="00E42DEC"/>
    <w:rsid w:val="00E43DA3"/>
    <w:rsid w:val="00E447E3"/>
    <w:rsid w:val="00E50F30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3D98"/>
    <w:rsid w:val="00E663C8"/>
    <w:rsid w:val="00E6737B"/>
    <w:rsid w:val="00E70517"/>
    <w:rsid w:val="00E71A49"/>
    <w:rsid w:val="00E734D4"/>
    <w:rsid w:val="00E74D72"/>
    <w:rsid w:val="00E75257"/>
    <w:rsid w:val="00E8221A"/>
    <w:rsid w:val="00E8652C"/>
    <w:rsid w:val="00E871ED"/>
    <w:rsid w:val="00E9049A"/>
    <w:rsid w:val="00E9213B"/>
    <w:rsid w:val="00E92687"/>
    <w:rsid w:val="00E92ED4"/>
    <w:rsid w:val="00E95A3E"/>
    <w:rsid w:val="00E95F6D"/>
    <w:rsid w:val="00E96645"/>
    <w:rsid w:val="00EA1B55"/>
    <w:rsid w:val="00EA226F"/>
    <w:rsid w:val="00EA6CEF"/>
    <w:rsid w:val="00EA7BF4"/>
    <w:rsid w:val="00EB03F2"/>
    <w:rsid w:val="00EB1D00"/>
    <w:rsid w:val="00EB55C6"/>
    <w:rsid w:val="00EB738B"/>
    <w:rsid w:val="00EC3669"/>
    <w:rsid w:val="00ED04AC"/>
    <w:rsid w:val="00ED10FB"/>
    <w:rsid w:val="00ED2AEA"/>
    <w:rsid w:val="00ED392D"/>
    <w:rsid w:val="00EE0E96"/>
    <w:rsid w:val="00EE1053"/>
    <w:rsid w:val="00EE1666"/>
    <w:rsid w:val="00EE2009"/>
    <w:rsid w:val="00EE3F35"/>
    <w:rsid w:val="00EE414A"/>
    <w:rsid w:val="00EF1A6D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199C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7194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360A"/>
    <w:rsid w:val="00F84E0F"/>
    <w:rsid w:val="00F85422"/>
    <w:rsid w:val="00F90672"/>
    <w:rsid w:val="00F96BB8"/>
    <w:rsid w:val="00FA3B28"/>
    <w:rsid w:val="00FA78A3"/>
    <w:rsid w:val="00FB0DF6"/>
    <w:rsid w:val="00FB185B"/>
    <w:rsid w:val="00FB1A43"/>
    <w:rsid w:val="00FB37C6"/>
    <w:rsid w:val="00FB514E"/>
    <w:rsid w:val="00FC133F"/>
    <w:rsid w:val="00FC13C8"/>
    <w:rsid w:val="00FC1CE0"/>
    <w:rsid w:val="00FC2723"/>
    <w:rsid w:val="00FC3366"/>
    <w:rsid w:val="00FC6C71"/>
    <w:rsid w:val="00FC7986"/>
    <w:rsid w:val="00FD0620"/>
    <w:rsid w:val="00FD0781"/>
    <w:rsid w:val="00FD1A30"/>
    <w:rsid w:val="00FD27B5"/>
    <w:rsid w:val="00FD442D"/>
    <w:rsid w:val="00FD514D"/>
    <w:rsid w:val="00FD529C"/>
    <w:rsid w:val="00FD5A51"/>
    <w:rsid w:val="00FD5ACC"/>
    <w:rsid w:val="00FD5F38"/>
    <w:rsid w:val="00FD61D9"/>
    <w:rsid w:val="00FE2F62"/>
    <w:rsid w:val="00FE2F95"/>
    <w:rsid w:val="00FE5C59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3BE30E-F2ED-43F2-A699-B8AEC02FD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customStyle="1" w:styleId="ConsPlusNormal">
    <w:name w:val="ConsPlusNormal"/>
    <w:rsid w:val="00C964BA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694D8ECD2D4EE11581A89317472ACF34242416516DF6130FC8ADE4995A5A50BDE959DA7A2B267A3EF9E7bFUF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-astr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2A5D4-D970-44D0-9027-3951D4F87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2573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17211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Алаторцева Еваткрина Ивановна</cp:lastModifiedBy>
  <cp:revision>136</cp:revision>
  <cp:lastPrinted>2017-11-24T10:04:00Z</cp:lastPrinted>
  <dcterms:created xsi:type="dcterms:W3CDTF">2015-08-27T08:32:00Z</dcterms:created>
  <dcterms:modified xsi:type="dcterms:W3CDTF">2017-11-24T10:17:00Z</dcterms:modified>
</cp:coreProperties>
</file>